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image/svg+xml" Extension="svg"/>
  <Default ContentType="application/vnd.openxmlformats-package.relationships+xml" Extension="rels"/>
  <Default ContentType="application/xml" Extension="xml"/>
  <Default ContentType="application/vnd.openxmlformats-officedocument.obfuscatedFont" Extension="odttf"/>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fontTable+xml" PartName="/word/fontTable.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spacing w:after="0" w:before="0"/>
        <w:jc w:val="center"/>
      </w:pPr>
      <w:r>
        <w:drawing>
          <wp:inline distT="0" distB="0" distL="0" distR="0">
            <wp:extent cx="9715500" cy="28575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9715500" cy="2857500"/>
                    </a:xfrm>
                    <a:prstGeom prst="rect">
                      <a:avLst/>
                    </a:prstGeom>
                  </pic:spPr>
                </pic:pic>
              </a:graphicData>
            </a:graphic>
          </wp:inline>
        </w:drawing>
      </w:r>
    </w:p>
    <w:p>
      <w:pPr>
        <w:pBdr>
          <w:bottom w:val="single" w:color="990000" w:sz="6"/>
        </w:pBdr>
        <w:spacing w:after="0" w:before="0"/>
      </w:pPr>
      <w:r>
        <w:t xml:space="preserve"/>
      </w:r>
    </w:p>
    <w:tbl>
      <w:tblPr>
        <w:tblW w:type="dxa" w:w="12240"/>
        <w:tblBorders>
          <w:top w:val="single" w:color="auto" w:sz="4"/>
          <w:left w:val="single" w:color="auto" w:sz="4"/>
          <w:bottom w:val="single" w:color="auto" w:sz="4"/>
          <w:right w:val="single" w:color="auto" w:sz="4"/>
          <w:insideH w:val="single" w:color="auto" w:sz="4"/>
          <w:insideV w:val="single" w:color="auto" w:sz="4"/>
        </w:tblBorders>
      </w:tblPr>
      <w:tblGrid>
        <w:gridCol w:w="12240"/>
      </w:tblGrid>
      <w:tr>
        <w:tc>
          <w:tcPr>
            <w:tcBorders>
              <w:top w:val="none" w:color="FFFFFF" w:sz="0"/>
              <w:left w:val="none" w:color="FFFFFF" w:sz="0"/>
              <w:bottom w:val="none" w:color="FFFFFF" w:sz="0"/>
              <w:right w:val="none" w:color="FFFFFF" w:sz="0"/>
            </w:tcBorders>
            <w:shd w:fill="0B1F4D" w:val="clear"/>
            <w:tcMar>
              <w:top w:type="dxa" w:w="70"/>
              <w:left w:type="dxa" w:w="480"/>
              <w:bottom w:type="dxa" w:w="70"/>
              <w:right w:type="dxa" w:w="480"/>
            </w:tcMar>
          </w:tcPr>
          <w:p>
            <w:pPr>
              <w:jc w:val="center"/>
            </w:pPr>
            <w:r>
              <w:rPr>
                <w:rFonts w:ascii="Garamond" w:cs="Garamond" w:eastAsia="Garamond" w:hAnsi="Garamond"/>
                <w:b/>
                <w:bCs/>
                <w:color w:val="FFFFFF"/>
                <w:spacing w:val="120"/>
                <w:sz w:val="36"/>
                <w:szCs w:val="36"/>
              </w:rPr>
              <w:t xml:space="preserve">EXECUTIVE BIOGRAPHY</w:t>
            </w:r>
          </w:p>
        </w:tc>
      </w:tr>
    </w:tbl>
    <w:p>
      <w:pPr>
        <w:pBdr>
          <w:bottom w:val="single" w:color="990000" w:sz="4"/>
        </w:pBdr>
        <w:spacing w:after="0" w:before="0"/>
      </w:pPr>
      <w:r>
        <w:t xml:space="preserve"/>
      </w:r>
    </w:p>
    <w:tbl>
      <w:tblPr>
        <w:tblW w:type="dxa" w:w="12240"/>
        <w:tblBorders>
          <w:top w:val="single" w:color="auto" w:sz="4"/>
          <w:left w:val="single" w:color="auto" w:sz="4"/>
          <w:bottom w:val="single" w:color="auto" w:sz="4"/>
          <w:right w:val="single" w:color="auto" w:sz="4"/>
          <w:insideH w:val="single" w:color="auto" w:sz="4"/>
          <w:insideV w:val="single" w:color="auto" w:sz="4"/>
        </w:tblBorders>
      </w:tblPr>
      <w:tblGrid>
        <w:gridCol w:w="8200"/>
        <w:gridCol w:w="4040"/>
      </w:tblGrid>
      <w:tr>
        <w:tc>
          <w:tcPr>
            <w:tcW w:type="dxa" w:w="8200"/>
            <w:tcBorders>
              <w:top w:val="none" w:color="FFFFFF" w:sz="0"/>
              <w:left w:val="none" w:color="FFFFFF" w:sz="0"/>
              <w:bottom w:val="none" w:color="FFFFFF" w:sz="0"/>
              <w:right w:val="none" w:color="FFFFFF" w:sz="0"/>
            </w:tcBorders>
            <w:tcMar>
              <w:top w:type="dxa" w:w="140"/>
              <w:left w:type="dxa" w:w="480"/>
              <w:bottom w:type="dxa" w:w="140"/>
              <w:right w:type="dxa" w:w="200"/>
            </w:tcMar>
          </w:tcPr>
          <w:p>
            <w:pPr>
              <w:spacing w:after="40" w:before="0"/>
            </w:pPr>
            <w:r>
              <w:rPr>
                <w:rFonts w:ascii="Garamond" w:cs="Garamond" w:eastAsia="Garamond" w:hAnsi="Garamond"/>
                <w:b/>
                <w:bCs/>
                <w:color w:val="0B1F4D"/>
                <w:sz w:val="44"/>
                <w:szCs w:val="44"/>
              </w:rPr>
              <w:t xml:space="preserve">Regina Mitchell</w:t>
            </w:r>
          </w:p>
          <w:p>
            <w:pPr>
              <w:spacing w:after="60" w:before="0"/>
            </w:pPr>
            <w:r>
              <w:rPr>
                <w:rFonts w:ascii="Garamond" w:cs="Garamond" w:eastAsia="Garamond" w:hAnsi="Garamond"/>
                <w:i/>
                <w:iCs/>
                <w:color w:val="990000"/>
                <w:sz w:val="22"/>
                <w:szCs w:val="22"/>
              </w:rPr>
              <w:t xml:space="preserve">Principal Consultant  |  The Mitchell Firm, LLC</w:t>
            </w:r>
          </w:p>
          <w:p>
            <w:pPr>
              <w:spacing w:after="60" w:before="0"/>
              <w:jc w:val="both"/>
            </w:pPr>
            <w:r>
              <w:rPr>
                <w:rFonts w:ascii="Garamond" w:cs="Garamond" w:eastAsia="Garamond" w:hAnsi="Garamond"/>
                <w:color w:val="222222"/>
                <w:sz w:val="20"/>
                <w:szCs w:val="20"/>
              </w:rPr>
              <w:t xml:space="preserve">Regina Mitchell is a nationally recognized expert in juvenile and criminal justice reform whose career spans more than two decades of transformative work across direct service, research, policy, and statewide leadership. As Principal Consultant of The Mitchell Firm, LLC, she partners with government agencies, foundations, and nonprofits to develop evidence-informed strategies that reduce racial and ethnic disparities, strengthen probation systems, and advance equitable outcomes for youth and families across the country.</w:t>
            </w:r>
          </w:p>
          <w:p>
            <w:pPr>
              <w:spacing w:after="60" w:before="0"/>
              <w:jc w:val="both"/>
            </w:pPr>
            <w:r>
              <w:rPr>
                <w:rFonts w:ascii="Garamond" w:cs="Garamond" w:eastAsia="Garamond" w:hAnsi="Garamond"/>
                <w:color w:val="222222"/>
                <w:sz w:val="20"/>
                <w:szCs w:val="20"/>
              </w:rPr>
              <w:t xml:space="preserve">Prior to founding The Mitchell Firm, Regina served as Chief Policy and Programs Officer at the Center for Children's Law and Policy, where she directed a national portfolio of juvenile justice reform initiatives. As State JDAI Administrator at the Ohio Department of Youth Services, she led statewide implementation of the Juvenile Detention Alternatives Initiative (JDAI), coordinating data analysis, cross-site technical assistance, and disparity reduction strategies across Ohio's juvenile justice system.</w:t>
            </w:r>
          </w:p>
          <w:p>
            <w:pPr>
              <w:spacing w:after="60" w:before="0"/>
              <w:jc w:val="both"/>
            </w:pPr>
            <w:r>
              <w:rPr>
                <w:rFonts w:ascii="Garamond" w:cs="Garamond" w:eastAsia="Garamond" w:hAnsi="Garamond"/>
                <w:color w:val="222222"/>
                <w:sz w:val="20"/>
                <w:szCs w:val="20"/>
              </w:rPr>
              <w:t xml:space="preserve">Regina's career is distinguished by its breadth and depth: she has investigated criminal gang activity as a Gang Investigator for the Ohio Attorney General's Office, coordinated gang intervention strategies as Criminal Gang Coordinator for Franklin County Adult Probation, directed youth development programming at Africentric Personal Development Shop, Inc., conducted research at The Ohio State University, and shaped the next generation of justice professionals as Adjunct Professor at Ohio Dominican University.</w:t>
            </w:r>
          </w:p>
          <w:p>
            <w:pPr>
              <w:spacing w:after="0" w:before="0"/>
              <w:jc w:val="both"/>
            </w:pPr>
            <w:r>
              <w:rPr>
                <w:rFonts w:ascii="Garamond" w:cs="Garamond" w:eastAsia="Garamond" w:hAnsi="Garamond"/>
                <w:color w:val="222222"/>
                <w:sz w:val="20"/>
                <w:szCs w:val="20"/>
              </w:rPr>
              <w:t xml:space="preserve">A sought-after speaker, trainer, and thought leader, Regina brings both practitioner credibility and strategic rigor to every podium and engagement. She has designed and facilitated trainings, convenings, and technical assistance initiatives for audiences ranging from frontline probation officers to state agency directors and federal policy makers. Her current consulting work includes the JJDPA Resource Spotlight Series — a national initiative supporting R/ED Coordinators and compliance — along with active engagements in probation transformation and trauma-focused practice.</w:t>
            </w:r>
          </w:p>
        </w:tc>
        <w:tc>
          <w:tcPr>
            <w:tcW w:type="dxa" w:w="4040"/>
            <w:tcBorders>
              <w:top w:val="none" w:color="FFFFFF" w:sz="0"/>
              <w:left w:val="single" w:color="990000" w:sz="8"/>
              <w:bottom w:val="none" w:color="FFFFFF" w:sz="0"/>
              <w:right w:val="none" w:color="FFFFFF" w:sz="0"/>
            </w:tcBorders>
            <w:shd w:fill="EEF1F8" w:val="clear"/>
            <w:tcMar>
              <w:top w:type="dxa" w:w="120"/>
              <w:left w:type="dxa" w:w="240"/>
              <w:bottom w:type="dxa" w:w="120"/>
              <w:right w:type="dxa" w:w="360"/>
            </w:tcMar>
          </w:tcPr>
          <w:p>
            <w:pPr>
              <w:pBdr>
                <w:bottom w:val="single" w:color="990000" w:sz="4"/>
              </w:pBdr>
              <w:spacing w:after="40" w:before="0"/>
            </w:pPr>
            <w:r>
              <w:rPr>
                <w:rFonts w:ascii="Garamond" w:cs="Garamond" w:eastAsia="Garamond" w:hAnsi="Garamond"/>
                <w:b/>
                <w:bCs/>
                <w:color w:val="0B1F4D"/>
                <w:spacing w:val="40"/>
                <w:sz w:val="20"/>
                <w:szCs w:val="20"/>
              </w:rPr>
              <w:t xml:space="preserve">AREAS OF EXPERTISE</w:t>
            </w:r>
          </w:p>
          <w:p>
            <w:pPr>
              <w:spacing w:after="34" w:before="34"/>
            </w:pPr>
            <w:r>
              <w:rPr>
                <w:rFonts w:ascii="Garamond" w:cs="Garamond" w:eastAsia="Garamond" w:hAnsi="Garamond"/>
                <w:color w:val="333333"/>
                <w:sz w:val="17"/>
                <w:szCs w:val="17"/>
              </w:rPr>
              <w:t xml:space="preserve">▪  Juvenile Justice Reform</w:t>
            </w:r>
          </w:p>
          <w:p>
            <w:pPr>
              <w:spacing w:after="34" w:before="34"/>
            </w:pPr>
            <w:r>
              <w:rPr>
                <w:rFonts w:ascii="Garamond" w:cs="Garamond" w:eastAsia="Garamond" w:hAnsi="Garamond"/>
                <w:color w:val="333333"/>
                <w:sz w:val="17"/>
                <w:szCs w:val="17"/>
              </w:rPr>
              <w:t xml:space="preserve">▪  Racial &amp; Ethnic Disparity Reduction</w:t>
            </w:r>
          </w:p>
          <w:p>
            <w:pPr>
              <w:spacing w:after="34" w:before="34"/>
            </w:pPr>
            <w:r>
              <w:rPr>
                <w:rFonts w:ascii="Garamond" w:cs="Garamond" w:eastAsia="Garamond" w:hAnsi="Garamond"/>
                <w:color w:val="333333"/>
                <w:sz w:val="17"/>
                <w:szCs w:val="17"/>
              </w:rPr>
              <w:t xml:space="preserve">▪  JDAI Implementation</w:t>
            </w:r>
          </w:p>
          <w:p>
            <w:pPr>
              <w:spacing w:after="34" w:before="34"/>
            </w:pPr>
            <w:r>
              <w:rPr>
                <w:rFonts w:ascii="Garamond" w:cs="Garamond" w:eastAsia="Garamond" w:hAnsi="Garamond"/>
                <w:color w:val="333333"/>
                <w:sz w:val="17"/>
                <w:szCs w:val="17"/>
              </w:rPr>
              <w:t xml:space="preserve">▪  Probation Transformation</w:t>
            </w:r>
          </w:p>
          <w:p>
            <w:pPr>
              <w:spacing w:after="34" w:before="34"/>
            </w:pPr>
            <w:r>
              <w:rPr>
                <w:rFonts w:ascii="Garamond" w:cs="Garamond" w:eastAsia="Garamond" w:hAnsi="Garamond"/>
                <w:color w:val="333333"/>
                <w:sz w:val="17"/>
                <w:szCs w:val="17"/>
              </w:rPr>
              <w:t xml:space="preserve">▪  Policy Development &amp; Analysis</w:t>
            </w:r>
          </w:p>
          <w:p>
            <w:pPr>
              <w:spacing w:after="34" w:before="34"/>
            </w:pPr>
            <w:r>
              <w:rPr>
                <w:rFonts w:ascii="Garamond" w:cs="Garamond" w:eastAsia="Garamond" w:hAnsi="Garamond"/>
                <w:color w:val="333333"/>
                <w:sz w:val="17"/>
                <w:szCs w:val="17"/>
              </w:rPr>
              <w:t xml:space="preserve">▪  Federal Compliance &amp; Reporting</w:t>
            </w:r>
          </w:p>
          <w:p>
            <w:pPr>
              <w:spacing w:after="34" w:before="34"/>
            </w:pPr>
            <w:r>
              <w:rPr>
                <w:rFonts w:ascii="Garamond" w:cs="Garamond" w:eastAsia="Garamond" w:hAnsi="Garamond"/>
                <w:color w:val="333333"/>
                <w:sz w:val="17"/>
                <w:szCs w:val="17"/>
              </w:rPr>
              <w:t xml:space="preserve">▪  Training &amp; Technical Assistance</w:t>
            </w:r>
          </w:p>
          <w:p>
            <w:pPr>
              <w:spacing w:after="34" w:before="34"/>
            </w:pPr>
            <w:r>
              <w:rPr>
                <w:rFonts w:ascii="Garamond" w:cs="Garamond" w:eastAsia="Garamond" w:hAnsi="Garamond"/>
                <w:color w:val="333333"/>
                <w:sz w:val="17"/>
                <w:szCs w:val="17"/>
              </w:rPr>
              <w:t xml:space="preserve">▪  Research &amp; Program Evaluation</w:t>
            </w:r>
          </w:p>
          <w:p>
            <w:pPr>
              <w:spacing w:after="34" w:before="34"/>
            </w:pPr>
            <w:r>
              <w:rPr>
                <w:rFonts w:ascii="Garamond" w:cs="Garamond" w:eastAsia="Garamond" w:hAnsi="Garamond"/>
                <w:color w:val="333333"/>
                <w:sz w:val="17"/>
                <w:szCs w:val="17"/>
              </w:rPr>
              <w:t xml:space="preserve">▪  Stakeholder Engagement</w:t>
            </w:r>
          </w:p>
          <w:p>
            <w:pPr>
              <w:spacing w:after="34" w:before="34"/>
            </w:pPr>
            <w:r>
              <w:rPr>
                <w:rFonts w:ascii="Garamond" w:cs="Garamond" w:eastAsia="Garamond" w:hAnsi="Garamond"/>
                <w:color w:val="333333"/>
                <w:sz w:val="17"/>
                <w:szCs w:val="17"/>
              </w:rPr>
              <w:t xml:space="preserve">▪  Legislative Advocacy</w:t>
            </w:r>
          </w:p>
          <w:p>
            <w:pPr>
              <w:pBdr>
                <w:bottom w:val="single" w:color="990000" w:sz="4"/>
              </w:pBdr>
              <w:spacing w:after="40" w:before="60"/>
            </w:pPr>
            <w:r>
              <w:rPr>
                <w:rFonts w:ascii="Garamond" w:cs="Garamond" w:eastAsia="Garamond" w:hAnsi="Garamond"/>
                <w:b/>
                <w:bCs/>
                <w:color w:val="0B1F4D"/>
                <w:spacing w:val="40"/>
                <w:sz w:val="20"/>
                <w:szCs w:val="20"/>
              </w:rPr>
              <w:t xml:space="preserve">SPEAKING TOPICS</w:t>
            </w:r>
          </w:p>
          <w:p>
            <w:pPr>
              <w:spacing w:after="34" w:before="34"/>
            </w:pPr>
            <w:r>
              <w:rPr>
                <w:rFonts w:ascii="Garamond" w:cs="Garamond" w:eastAsia="Garamond" w:hAnsi="Garamond"/>
                <w:color w:val="333333"/>
                <w:sz w:val="17"/>
                <w:szCs w:val="17"/>
              </w:rPr>
              <w:t xml:space="preserve">▪  Reducing Racial Disparities in Juvenile Justice</w:t>
            </w:r>
          </w:p>
          <w:p>
            <w:pPr>
              <w:spacing w:after="34" w:before="34"/>
            </w:pPr>
            <w:r>
              <w:rPr>
                <w:rFonts w:ascii="Garamond" w:cs="Garamond" w:eastAsia="Garamond" w:hAnsi="Garamond"/>
                <w:color w:val="333333"/>
                <w:sz w:val="17"/>
                <w:szCs w:val="17"/>
              </w:rPr>
              <w:t xml:space="preserve">▪  Transforming Probation for Better Outcomes</w:t>
            </w:r>
          </w:p>
          <w:p>
            <w:pPr>
              <w:spacing w:after="34" w:before="34"/>
            </w:pPr>
            <w:r>
              <w:rPr>
                <w:rFonts w:ascii="Garamond" w:cs="Garamond" w:eastAsia="Garamond" w:hAnsi="Garamond"/>
                <w:color w:val="333333"/>
                <w:sz w:val="17"/>
                <w:szCs w:val="17"/>
              </w:rPr>
              <w:t xml:space="preserve">▪  JDAI: From Data to Decision-Making</w:t>
            </w:r>
          </w:p>
          <w:p>
            <w:pPr>
              <w:spacing w:after="34" w:before="34"/>
            </w:pPr>
            <w:r>
              <w:rPr>
                <w:rFonts w:ascii="Garamond" w:cs="Garamond" w:eastAsia="Garamond" w:hAnsi="Garamond"/>
                <w:color w:val="333333"/>
                <w:sz w:val="17"/>
                <w:szCs w:val="17"/>
              </w:rPr>
              <w:t xml:space="preserve">▪  Policy into Practice: Making Reform Stick</w:t>
            </w:r>
          </w:p>
          <w:p>
            <w:pPr>
              <w:spacing w:after="34" w:before="34"/>
            </w:pPr>
            <w:r>
              <w:rPr>
                <w:rFonts w:ascii="Garamond" w:cs="Garamond" w:eastAsia="Garamond" w:hAnsi="Garamond"/>
                <w:color w:val="333333"/>
                <w:sz w:val="17"/>
                <w:szCs w:val="17"/>
              </w:rPr>
              <w:t xml:space="preserve">▪  Equity as Infrastructure</w:t>
            </w:r>
          </w:p>
          <w:p>
            <w:pPr>
              <w:spacing w:after="34" w:before="34"/>
            </w:pPr>
            <w:r>
              <w:rPr>
                <w:rFonts w:ascii="Garamond" w:cs="Garamond" w:eastAsia="Garamond" w:hAnsi="Garamond"/>
                <w:color w:val="333333"/>
                <w:sz w:val="17"/>
                <w:szCs w:val="17"/>
              </w:rPr>
              <w:t xml:space="preserve">▪  Building Systems That Serve Youth</w:t>
            </w:r>
          </w:p>
          <w:p>
            <w:pPr>
              <w:pBdr>
                <w:bottom w:val="single" w:color="990000" w:sz="4"/>
              </w:pBdr>
              <w:spacing w:after="40" w:before="60"/>
            </w:pPr>
            <w:r>
              <w:rPr>
                <w:rFonts w:ascii="Garamond" w:cs="Garamond" w:eastAsia="Garamond" w:hAnsi="Garamond"/>
                <w:b/>
                <w:bCs/>
                <w:color w:val="0B1F4D"/>
                <w:spacing w:val="40"/>
                <w:sz w:val="20"/>
                <w:szCs w:val="20"/>
              </w:rPr>
              <w:t xml:space="preserve">CONTACT &amp; BOOKING</w:t>
            </w:r>
          </w:p>
          <w:p>
            <w:pPr>
              <w:spacing w:after="50" w:before="60"/>
            </w:pPr>
            <w:r>
              <w:rPr>
                <w:rFonts w:ascii="Garamond" w:cs="Garamond" w:eastAsia="Garamond" w:hAnsi="Garamond"/>
                <w:color w:val="0B1F4D"/>
                <w:sz w:val="17"/>
                <w:szCs w:val="17"/>
              </w:rPr>
              <w:t xml:space="preserve">🌐  www.themitchellfirm.org</w:t>
            </w:r>
          </w:p>
          <w:p>
            <w:pPr>
              <w:spacing w:after="50" w:before="50"/>
            </w:pPr>
            <w:r>
              <w:rPr>
                <w:rFonts w:ascii="Garamond" w:cs="Garamond" w:eastAsia="Garamond" w:hAnsi="Garamond"/>
                <w:color w:val="0B1F4D"/>
                <w:sz w:val="17"/>
                <w:szCs w:val="17"/>
              </w:rPr>
              <w:t xml:space="preserve">✉  reginamitchell@tmfconsulting.org</w:t>
            </w:r>
          </w:p>
          <w:p>
            <w:pPr>
              <w:spacing w:after="0" w:before="50"/>
            </w:pPr>
            <w:r>
              <w:rPr>
                <w:rFonts w:ascii="Garamond" w:cs="Garamond" w:eastAsia="Garamond" w:hAnsi="Garamond"/>
                <w:color w:val="0B1F4D"/>
                <w:sz w:val="17"/>
                <w:szCs w:val="17"/>
              </w:rPr>
              <w:t xml:space="preserve">☎  (202) 670-4052</w:t>
            </w:r>
          </w:p>
        </w:tc>
      </w:tr>
    </w:tbl>
    <w:tbl>
      <w:tblPr>
        <w:tblW w:type="dxa" w:w="12240"/>
        <w:tblBorders>
          <w:top w:val="single" w:color="auto" w:sz="4"/>
          <w:left w:val="single" w:color="auto" w:sz="4"/>
          <w:bottom w:val="single" w:color="auto" w:sz="4"/>
          <w:right w:val="single" w:color="auto" w:sz="4"/>
          <w:insideH w:val="single" w:color="auto" w:sz="4"/>
          <w:insideV w:val="single" w:color="auto" w:sz="4"/>
        </w:tblBorders>
      </w:tblPr>
      <w:tblGrid>
        <w:gridCol w:w="12240"/>
      </w:tblGrid>
      <w:tr>
        <w:tc>
          <w:tcPr>
            <w:tcBorders>
              <w:top w:val="none" w:color="FFFFFF" w:sz="0"/>
              <w:left w:val="none" w:color="FFFFFF" w:sz="0"/>
              <w:bottom w:val="none" w:color="FFFFFF" w:sz="0"/>
              <w:right w:val="none" w:color="FFFFFF" w:sz="0"/>
            </w:tcBorders>
            <w:shd w:fill="0B1F4D" w:val="clear"/>
            <w:tcMar>
              <w:top w:type="dxa" w:w="80"/>
              <w:left w:type="dxa" w:w="320"/>
              <w:bottom w:type="dxa" w:w="80"/>
              <w:right w:type="dxa" w:w="320"/>
            </w:tcMar>
          </w:tcPr>
          <w:p>
            <w:pPr>
              <w:jc w:val="center"/>
            </w:pPr>
            <w:r>
              <w:rPr>
                <w:rFonts w:ascii="Garamond" w:cs="Garamond" w:eastAsia="Garamond" w:hAnsi="Garamond"/>
                <w:i/>
                <w:iCs/>
                <w:color w:val="C8A84B"/>
                <w:sz w:val="22"/>
                <w:szCs w:val="22"/>
              </w:rPr>
              <w:t xml:space="preserve">Consulting with Purpose. Strategies That Transform.</w:t>
            </w:r>
            <w:r>
              <w:rPr>
                <w:rFonts w:ascii="Garamond" w:cs="Garamond" w:eastAsia="Garamond" w:hAnsi="Garamond"/>
                <w:color w:val="FFFFFF"/>
                <w:sz w:val="20"/>
                <w:szCs w:val="20"/>
              </w:rPr>
              <w:t xml:space="preserve">   •   www.themitchellfirm.org</w:t>
            </w:r>
          </w:p>
        </w:tc>
      </w:tr>
    </w:tbl>
    <w:sectPr>
      <w:pgSz w:w="12240" w:h="15840" w:orient="portrait"/>
      <w:pgMar w:top="0" w:right="0" w:bottom="0" w:left="0"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pPr>
        <w:spacing w:after="0" w:line="240" w:lineRule="auto"/>
      </w:pPr>
      <w:r>
        <w:rPr>
          <w:rStyle w:val="EndnoteReference"/>
        </w:rPr>
        <w:endnoteRef/>
      </w:r>
      <w:r>
        <w:separator/>
      </w:r>
    </w:p>
  </w:endnote>
  <w:endnote w:type="continuationSeparator" w:id="0">
    <w:p>
      <w:pPr>
        <w:spacing w:after="0" w:line="240" w:lineRule="auto"/>
      </w:pPr>
      <w:r>
        <w:rPr>
          <w:rStyle w:val="EndnoteReference"/>
        </w:rPr>
        <w:endnoteRef/>
      </w: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abstractNum w:abstractNumId="2" w15:restartNumberingAfterBreak="0">
    <w:multiLevelType w:val="hybridMultilevel"/>
    <w:lvl w:ilvl="0" w15:tentative="1">
      <w:start w:val="1"/>
      <w:numFmt w:val="bullet"/>
      <w:lvlText w:val="▪"/>
      <w:lvlJc w:val="left"/>
      <w:pPr>
        <w:ind w:left="440" w:hanging="220"/>
      </w:pPr>
      <w:rPr>
        <w:color w:val="990000"/>
      </w:rPr>
    </w:lvl>
  </w:abstractNum>
  <w:num w:numId="1">
    <w:abstractNumId w:val="1"/>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name="compatibilityMode" w:uri="http://schemas.microsoft.com/office/word"/>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Garamond" w:cs="Garamond" w:eastAsia="Garamond" w:hAnsi="Garamond"/>
        <w:sz w:val="20"/>
        <w:szCs w:val="20"/>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rPr>
      <w:color w:val="2E74B5"/>
      <w:sz w:val="32"/>
      <w:szCs w:val="32"/>
    </w:rPr>
  </w:style>
  <w:style w:type="paragraph" w:styleId="Heading2">
    <w:name w:val="Heading 2"/>
    <w:basedOn w:val="Normal"/>
    <w:next w:val="Normal"/>
    <w:qFormat/>
    <w:rPr>
      <w:color w:val="2E74B5"/>
      <w:sz w:val="26"/>
      <w:szCs w:val="26"/>
    </w:rPr>
  </w:style>
  <w:style w:type="paragraph" w:styleId="Heading3">
    <w:name w:val="Heading 3"/>
    <w:basedOn w:val="Normal"/>
    <w:next w:val="Normal"/>
    <w:qFormat/>
    <w:rPr>
      <w:color w:val="1F4D78"/>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rPr>
      <w:color w:val="1F4D78"/>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color w:val="0563C1"/>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styleId="EndnoteTextChar">
    <w:name w:val="Endnote Text Char"/>
    <w:basedOn w:val="DefaultParagraphFont"/>
    <w:link w:val="EndnoteText"/>
    <w:uiPriority w:val="99"/>
    <w:semiHidden/>
    <w:unhideWhenUsed/>
    <w:rPr>
      <w:sz w:val="20"/>
      <w:szCs w:val="20"/>
    </w:rPr>
  </w:style>
</w:styles>
</file>

<file path=word/_rels/comments.xml.rels><?xml version="1.0" encoding="UTF-8"?><Relationships xmlns="http://schemas.openxmlformats.org/package/2006/relationship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endnotes" Target="endnotes.xml"/><Relationship Id="rId5" Type="http://schemas.openxmlformats.org/officeDocument/2006/relationships/settings" Target="settings.xml"/><Relationship Id="rId6" Type="http://schemas.openxmlformats.org/officeDocument/2006/relationships/comments" Target="comments.xml"/><Relationship Id="rId7" Type="http://schemas.openxmlformats.org/officeDocument/2006/relationships/image" Target="media/25387e5e00c49597aad57cc9722a94d5706fd4e6.png"/><Relationship Id="rId8" Type="http://schemas.openxmlformats.org/officeDocument/2006/relationships/fontTable" Target="fontTable.xml"/></Relationships>
</file>

<file path=word/_rels/endnotes.xml.rels><?xml version="1.0" encoding="UTF-8"?><Relationships xmlns="http://schemas.openxmlformats.org/package/2006/relationships"/>
</file>

<file path=word/_rels/fontTable.xml.rels><?xml version="1.0" encoding="UTF-8"?><Relationships xmlns="http://schemas.openxmlformats.org/package/2006/relationships"/>
</file>

<file path=word/_rels/footnotes.xml.rels><?xml version="1.0" encoding="UTF-8"?><Relationships xmlns="http://schemas.openxmlformats.org/package/2006/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2026-06-02T13:03:55.776Z</dcterms:created>
  <dcterms:modified xsi:type="dcterms:W3CDTF">2026-06-02T13:03:55.776Z</dcterms:modified>
</cp:coreProperties>
</file>

<file path=docProps/custom.xml><?xml version="1.0" encoding="utf-8"?>
<Properties xmlns="http://schemas.openxmlformats.org/officeDocument/2006/custom-properties" xmlns:vt="http://schemas.openxmlformats.org/officeDocument/2006/docPropsVTypes"/>
</file>