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9715500" cy="38862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990000" w:sz="6"/>
        </w:pBdr>
        <w:spacing w:after="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40"/>
              <w:left w:type="dxa" w:w="200"/>
              <w:bottom w:type="dxa" w:w="140"/>
              <w:right w:type="dxa" w:w="200"/>
            </w:tcMar>
          </w:tcPr>
          <w:p>
            <w:pPr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FFFFFF"/>
                <w:spacing w:val="120"/>
                <w:sz w:val="36"/>
                <w:szCs w:val="36"/>
              </w:rPr>
              <w:t xml:space="preserve">TRAINING CATALOG</w:t>
            </w:r>
          </w:p>
        </w:tc>
      </w:tr>
    </w:tbl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tcMar>
              <w:top w:type="dxa" w:w="200"/>
              <w:left w:type="dxa" w:w="200"/>
              <w:bottom w:type="dxa" w:w="200"/>
              <w:right w:type="dxa" w:w="200"/>
            </w:tcMar>
          </w:tcPr>
          <w:p>
            <w:pPr>
              <w:jc w:val="center"/>
            </w:pPr>
            <w:r>
              <w:rPr>
                <w:rFonts w:ascii="Garamond" w:cs="Garamond" w:eastAsia="Garamond" w:hAnsi="Garamond"/>
                <w:i/>
                <w:iCs/>
                <w:color w:val="333333"/>
                <w:sz w:val="20"/>
                <w:szCs w:val="20"/>
              </w:rPr>
              <w:t xml:space="preserve">The Mitchell Firm offers a suite of evidence-informed, practitioner-designed training programs for justice agencies, nonprofits, and government partners. All courses are available in multiple formats and can be customized to your organizational context.</w:t>
            </w:r>
          </w:p>
        </w:tc>
      </w:tr>
    </w:tbl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00"/>
              <w:left w:type="dxa" w:w="200"/>
              <w:bottom w:type="dxa" w:w="100"/>
              <w:right w:type="dxa" w:w="200"/>
            </w:tcMar>
          </w:tcPr>
          <w:p>
            <w:r>
              <w:rPr>
                <w:rFonts w:ascii="Garamond" w:cs="Garamond" w:eastAsia="Garamond" w:hAnsi="Garamond"/>
                <w:b/>
                <w:bCs/>
                <w:color w:val="FFFFFF"/>
                <w:spacing w:val="60"/>
                <w:sz w:val="22"/>
                <w:szCs w:val="22"/>
              </w:rPr>
              <w:t xml:space="preserve">TRACK 1: JUVENILE JUSTICE REFORM &amp; DISPARITY REDUCTION</w:t>
            </w:r>
          </w:p>
        </w:tc>
      </w:tr>
    </w:tbl>
    <w:p>
      <w:pPr>
        <w:spacing w:after="14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20"/>
              <w:left w:type="dxa" w:w="200"/>
              <w:bottom w:type="dxa" w:w="120"/>
              <w:right w:type="dxa" w:w="200"/>
            </w:tcMar>
          </w:tcPr>
          <w:tbl>
            <w:tblPr>
              <w:tblW w:type="dxa" w:w="111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7500"/>
              <w:gridCol w:w="3620"/>
            </w:tblGrid>
            <w:tr>
              <w:tc>
                <w:tcPr>
                  <w:tcW w:type="dxa" w:w="75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</w:tcPr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FFFFFF"/>
                      <w:sz w:val="26"/>
                      <w:szCs w:val="26"/>
                    </w:rPr>
                    <w:t xml:space="preserve">JJR-101  |  Introduction to Juvenile Detention Alternatives (JDAI)</w:t>
                  </w:r>
                </w:p>
              </w:tc>
              <w:tc>
                <w:tcPr>
                  <w:tcW w:type="dxa" w:w="362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vAlign w:val="center"/>
                </w:tcPr>
                <w:p>
                  <w:pPr>
                    <w:spacing w:after="0" w:before="0"/>
                    <w:jc w:val="right"/>
                  </w:pPr>
                  <w:r>
                    <w:rPr>
                      <w:rFonts w:ascii="Garamond" w:cs="Garamond" w:eastAsia="Garamond" w:hAnsi="Garamond"/>
                      <w:color w:val="C8A84B"/>
                      <w:sz w:val="18"/>
                      <w:szCs w:val="18"/>
                    </w:rPr>
                    <w:t xml:space="preserve">⏱ Half-Day (4 hrs)  |  🎯 New Practitioners / Administrators</w:t>
                  </w:r>
                </w:p>
              </w:tc>
            </w:tr>
          </w:tbl>
          <w:p/>
        </w:tc>
      </w:tr>
      <w:tr>
        <w:tc>
          <w:tcPr>
            <w:tcBorders>
              <w:top w:val="none" w:color="FFFFFF" w:sz="0"/>
              <w:left w:val="single" w:color="DDDDDD" w:sz="4"/>
              <w:bottom w:val="single" w:color="DDDDDD" w:sz="4"/>
              <w:right w:val="single" w:color="DDDDDD" w:sz="4"/>
            </w:tcBorders>
            <w:shd w:fill="EEF1F8" w:val="clear"/>
            <w:tcMar>
              <w:top w:type="dxa" w:w="0"/>
              <w:left w:type="dxa" w:w="0"/>
              <w:bottom w:type="dxa" w:w="0"/>
              <w:right w:type="dxa" w:w="0"/>
            </w:tcMar>
          </w:tcPr>
          <w:tbl>
            <w:tblPr>
              <w:tblW w:type="dxa" w:w="115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5700"/>
              <w:gridCol w:w="5820"/>
            </w:tblGrid>
            <w:tr>
              <w:tc>
                <w:tcPr>
                  <w:tcW w:type="dxa" w:w="57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COURSE OVERVIEW</w:t>
                  </w:r>
                </w:p>
                <w:p>
                  <w:pPr>
                    <w:spacing w:after="120" w:before="0"/>
                    <w:jc w:val="both"/>
                  </w:pPr>
                  <w:r>
                    <w:rPr>
                      <w:rFonts w:ascii="Garamond" w:cs="Garamond" w:eastAsia="Garamond" w:hAnsi="Garamond"/>
                      <w:color w:val="333333"/>
                      <w:sz w:val="19"/>
                      <w:szCs w:val="19"/>
                    </w:rPr>
                    <w:t xml:space="preserve">This foundational course introduces participants to the Juvenile Detention Alternatives Initiative — its history, core strategies, and evidence base. Participants examine how jurisdictions can reduce unnecessary detention while maintaining public safety and improving youth outcomes.</w:t>
                  </w:r>
                </w:p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DELIVERY FORMATS:</w:t>
                  </w:r>
                </w:p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In-person workshop | Virtual instructor-led | Hybrid | Train-the-Trainer (add-on)</w:t>
                  </w:r>
                </w:p>
              </w:tc>
              <w:tc>
                <w:tcPr>
                  <w:tcW w:type="dxa" w:w="5820"/>
                  <w:tcBorders>
                    <w:top w:val="none" w:color="FFFFFF" w:sz="0"/>
                    <w:left w:val="single" w:color="DDDDDD" w:sz="4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LEARNING OUTCOMES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Describe the history and core components of JDAI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Identify key data indicators used in detention decision-making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Apply JDAI principles to local detention assessment practices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Articulate the relationship between detention reduction and racial equity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Develop an action plan for initial JDAI implementation steps</w:t>
                  </w:r>
                </w:p>
              </w:tc>
            </w:tr>
          </w:tbl>
          <w:p/>
        </w:tc>
      </w:tr>
    </w:tbl>
    <w:p>
      <w:pPr>
        <w:spacing w:after="16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990000" w:val="clear"/>
            <w:tcMar>
              <w:top w:type="dxa" w:w="120"/>
              <w:left w:type="dxa" w:w="200"/>
              <w:bottom w:type="dxa" w:w="120"/>
              <w:right w:type="dxa" w:w="200"/>
            </w:tcMar>
          </w:tcPr>
          <w:tbl>
            <w:tblPr>
              <w:tblW w:type="dxa" w:w="111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7500"/>
              <w:gridCol w:w="3620"/>
            </w:tblGrid>
            <w:tr>
              <w:tc>
                <w:tcPr>
                  <w:tcW w:type="dxa" w:w="75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</w:tcPr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FFFFFF"/>
                      <w:sz w:val="26"/>
                      <w:szCs w:val="26"/>
                    </w:rPr>
                    <w:t xml:space="preserve">JJR-201  |  Racial and Ethnic Disparities: Data, Root Causes, and Systemic Solutions</w:t>
                  </w:r>
                </w:p>
              </w:tc>
              <w:tc>
                <w:tcPr>
                  <w:tcW w:type="dxa" w:w="362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vAlign w:val="center"/>
                </w:tcPr>
                <w:p>
                  <w:pPr>
                    <w:spacing w:after="0" w:before="0"/>
                    <w:jc w:val="right"/>
                  </w:pPr>
                  <w:r>
                    <w:rPr>
                      <w:rFonts w:ascii="Garamond" w:cs="Garamond" w:eastAsia="Garamond" w:hAnsi="Garamond"/>
                      <w:color w:val="FFFFFF"/>
                      <w:sz w:val="18"/>
                      <w:szCs w:val="18"/>
                    </w:rPr>
                    <w:t xml:space="preserve">⏱ Full-Day (8 hrs)  |  🎯 Agency Staff / Leadership Teams</w:t>
                  </w:r>
                </w:p>
              </w:tc>
            </w:tr>
          </w:tbl>
          <w:p/>
        </w:tc>
      </w:tr>
      <w:tr>
        <w:tc>
          <w:tcPr>
            <w:tcBorders>
              <w:top w:val="none" w:color="FFFFFF" w:sz="0"/>
              <w:left w:val="single" w:color="DDDDDD" w:sz="4"/>
              <w:bottom w:val="single" w:color="DDDDDD" w:sz="4"/>
              <w:right w:val="single" w:color="DDDDDD" w:sz="4"/>
            </w:tcBorders>
            <w:shd w:fill="F9EEEE" w:val="clear"/>
            <w:tcMar>
              <w:top w:type="dxa" w:w="0"/>
              <w:left w:type="dxa" w:w="0"/>
              <w:bottom w:type="dxa" w:w="0"/>
              <w:right w:type="dxa" w:w="0"/>
            </w:tcMar>
          </w:tcPr>
          <w:tbl>
            <w:tblPr>
              <w:tblW w:type="dxa" w:w="115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5700"/>
              <w:gridCol w:w="5820"/>
            </w:tblGrid>
            <w:tr>
              <w:tc>
                <w:tcPr>
                  <w:tcW w:type="dxa" w:w="57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COURSE OVERVIEW</w:t>
                  </w:r>
                </w:p>
                <w:p>
                  <w:pPr>
                    <w:spacing w:after="120" w:before="0"/>
                    <w:jc w:val="both"/>
                  </w:pPr>
                  <w:r>
                    <w:rPr>
                      <w:rFonts w:ascii="Garamond" w:cs="Garamond" w:eastAsia="Garamond" w:hAnsi="Garamond"/>
                      <w:color w:val="333333"/>
                      <w:sz w:val="19"/>
                      <w:szCs w:val="19"/>
                    </w:rPr>
                    <w:t xml:space="preserve">An advanced exploration of racial and ethnic disparities in juvenile justice — from data collection and analysis through root cause examination to actionable disparity reduction strategies. Participants leave equipped to lead disparity reduction work in their jurisdictions.</w:t>
                  </w:r>
                </w:p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DELIVERY FORMATS:</w:t>
                  </w:r>
                </w:p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Full-day in-person intensive | Multi-session virtual series (4 x 2 hrs) | Agency retreat format</w:t>
                  </w:r>
                </w:p>
              </w:tc>
              <w:tc>
                <w:tcPr>
                  <w:tcW w:type="dxa" w:w="5820"/>
                  <w:tcBorders>
                    <w:top w:val="none" w:color="FFFFFF" w:sz="0"/>
                    <w:left w:val="single" w:color="DDDDDD" w:sz="4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LEARNING OUTCOMES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Analyze disparity data using DMC core requirements and JJDPA standards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Identify systemic, structural, and individual-level drivers of disparity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Apply R/ED frameworks to decision points across the juvenile justice continuum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Design a disparity reduction strategy grounded in community engagement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Communicate disparity findings to diverse stakeholder audiences</w:t>
                  </w:r>
                </w:p>
              </w:tc>
            </w:tr>
          </w:tbl>
          <w:p/>
        </w:tc>
      </w:tr>
    </w:tbl>
    <w:p>
      <w:pPr>
        <w:sectPr>
          <w:pgSz w:w="12240" w:h="15840" w:orient="portrait"/>
          <w:pgMar w:top="0" w:right="360" w:bottom="720" w:left="360" w:header="708" w:footer="708" w:gutter="0"/>
          <w:pgNumType/>
          <w:docGrid w:linePitch="360"/>
        </w:sectPr>
      </w:pPr>
    </w:p>
    <w:p>
      <w:pPr>
        <w:spacing w:after="14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20"/>
              <w:left w:type="dxa" w:w="200"/>
              <w:bottom w:type="dxa" w:w="120"/>
              <w:right w:type="dxa" w:w="200"/>
            </w:tcMar>
          </w:tcPr>
          <w:tbl>
            <w:tblPr>
              <w:tblW w:type="dxa" w:w="111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7500"/>
              <w:gridCol w:w="3620"/>
            </w:tblGrid>
            <w:tr>
              <w:tc>
                <w:tcPr>
                  <w:tcW w:type="dxa" w:w="75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</w:tcPr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FFFFFF"/>
                      <w:sz w:val="26"/>
                      <w:szCs w:val="26"/>
                    </w:rPr>
                    <w:t xml:space="preserve">JJR-301  |  Probation Transformation: From Compliance to Connection</w:t>
                  </w:r>
                </w:p>
              </w:tc>
              <w:tc>
                <w:tcPr>
                  <w:tcW w:type="dxa" w:w="362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vAlign w:val="center"/>
                </w:tcPr>
                <w:p>
                  <w:pPr>
                    <w:spacing w:after="0" w:before="0"/>
                    <w:jc w:val="right"/>
                  </w:pPr>
                  <w:r>
                    <w:rPr>
                      <w:rFonts w:ascii="Garamond" w:cs="Garamond" w:eastAsia="Garamond" w:hAnsi="Garamond"/>
                      <w:color w:val="C8A84B"/>
                      <w:sz w:val="18"/>
                      <w:szCs w:val="18"/>
                    </w:rPr>
                    <w:t xml:space="preserve">⏱ Full-Day (8 hrs) or 2-Day  |  🎯 Probation Officers / Supervisors / Directors</w:t>
                  </w:r>
                </w:p>
              </w:tc>
            </w:tr>
          </w:tbl>
          <w:p/>
        </w:tc>
      </w:tr>
      <w:tr>
        <w:tc>
          <w:tcPr>
            <w:tcBorders>
              <w:top w:val="none" w:color="FFFFFF" w:sz="0"/>
              <w:left w:val="single" w:color="DDDDDD" w:sz="4"/>
              <w:bottom w:val="single" w:color="DDDDDD" w:sz="4"/>
              <w:right w:val="single" w:color="DDDDDD" w:sz="4"/>
            </w:tcBorders>
            <w:shd w:fill="EEF1F8" w:val="clear"/>
            <w:tcMar>
              <w:top w:type="dxa" w:w="0"/>
              <w:left w:type="dxa" w:w="0"/>
              <w:bottom w:type="dxa" w:w="0"/>
              <w:right w:type="dxa" w:w="0"/>
            </w:tcMar>
          </w:tcPr>
          <w:tbl>
            <w:tblPr>
              <w:tblW w:type="dxa" w:w="115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5700"/>
              <w:gridCol w:w="5820"/>
            </w:tblGrid>
            <w:tr>
              <w:tc>
                <w:tcPr>
                  <w:tcW w:type="dxa" w:w="57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COURSE OVERVIEW</w:t>
                  </w:r>
                </w:p>
                <w:p>
                  <w:pPr>
                    <w:spacing w:after="120" w:before="0"/>
                    <w:jc w:val="both"/>
                  </w:pPr>
                  <w:r>
                    <w:rPr>
                      <w:rFonts w:ascii="Garamond" w:cs="Garamond" w:eastAsia="Garamond" w:hAnsi="Garamond"/>
                      <w:color w:val="333333"/>
                      <w:sz w:val="19"/>
                      <w:szCs w:val="19"/>
                    </w:rPr>
                    <w:t xml:space="preserve">This course challenges traditional compliance-driven probation models and introduces evidence-based, developmental approaches that reduce recidivism, build youth-officer relationships, and promote equitable supervision practices. Combines framework instruction with case study analysis.</w:t>
                  </w:r>
                </w:p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DELIVERY FORMATS:</w:t>
                  </w:r>
                </w:p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In-person workshop (1 or 2 days) | Virtual modular series (6 x 90 min) | Leadership cohort format</w:t>
                  </w:r>
                </w:p>
              </w:tc>
              <w:tc>
                <w:tcPr>
                  <w:tcW w:type="dxa" w:w="5820"/>
                  <w:tcBorders>
                    <w:top w:val="none" w:color="FFFFFF" w:sz="0"/>
                    <w:left w:val="single" w:color="DDDDDD" w:sz="4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LEARNING OUTCOMES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Distinguish between compliance-driven and connection-centered probation models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Apply a developmental lens to supervision conditions and case planning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Use strength-based assessment tools to support youth success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Identify and reduce racially biased practices in supervision decisions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Lead team-level change toward transformative probation practices</w:t>
                  </w:r>
                </w:p>
              </w:tc>
            </w:tr>
          </w:tbl>
          <w:p/>
        </w:tc>
      </w:tr>
    </w:tbl>
    <w:p>
      <w:pPr>
        <w:spacing w:after="16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990000" w:val="clear"/>
            <w:tcMar>
              <w:top w:type="dxa" w:w="100"/>
              <w:left w:type="dxa" w:w="200"/>
              <w:bottom w:type="dxa" w:w="100"/>
              <w:right w:type="dxa" w:w="200"/>
            </w:tcMar>
          </w:tcPr>
          <w:p>
            <w:r>
              <w:rPr>
                <w:rFonts w:ascii="Garamond" w:cs="Garamond" w:eastAsia="Garamond" w:hAnsi="Garamond"/>
                <w:b/>
                <w:bCs/>
                <w:color w:val="FFFFFF"/>
                <w:spacing w:val="60"/>
                <w:sz w:val="22"/>
                <w:szCs w:val="22"/>
              </w:rPr>
              <w:t xml:space="preserve">TRACK 2: POLICY, ADVOCACY &amp; SYSTEM LEADERSHIP</w:t>
            </w:r>
          </w:p>
        </w:tc>
      </w:tr>
    </w:tbl>
    <w:p>
      <w:pPr>
        <w:spacing w:after="14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990000" w:val="clear"/>
            <w:tcMar>
              <w:top w:type="dxa" w:w="120"/>
              <w:left w:type="dxa" w:w="200"/>
              <w:bottom w:type="dxa" w:w="120"/>
              <w:right w:type="dxa" w:w="200"/>
            </w:tcMar>
          </w:tcPr>
          <w:tbl>
            <w:tblPr>
              <w:tblW w:type="dxa" w:w="111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7500"/>
              <w:gridCol w:w="3620"/>
            </w:tblGrid>
            <w:tr>
              <w:tc>
                <w:tcPr>
                  <w:tcW w:type="dxa" w:w="75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</w:tcPr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FFFFFF"/>
                      <w:sz w:val="26"/>
                      <w:szCs w:val="26"/>
                    </w:rPr>
                    <w:t xml:space="preserve">PAL-101  |  Policy into Practice: From Brief to Implementation</w:t>
                  </w:r>
                </w:p>
              </w:tc>
              <w:tc>
                <w:tcPr>
                  <w:tcW w:type="dxa" w:w="362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vAlign w:val="center"/>
                </w:tcPr>
                <w:p>
                  <w:pPr>
                    <w:spacing w:after="0" w:before="0"/>
                    <w:jc w:val="right"/>
                  </w:pPr>
                  <w:r>
                    <w:rPr>
                      <w:rFonts w:ascii="Garamond" w:cs="Garamond" w:eastAsia="Garamond" w:hAnsi="Garamond"/>
                      <w:color w:val="FFFFFF"/>
                      <w:sz w:val="18"/>
                      <w:szCs w:val="18"/>
                    </w:rPr>
                    <w:t xml:space="preserve">⏱ Half-Day (4 hrs)  |  🎯 Policy Staff / Advocates / Agency Leaders</w:t>
                  </w:r>
                </w:p>
              </w:tc>
            </w:tr>
          </w:tbl>
          <w:p/>
        </w:tc>
      </w:tr>
      <w:tr>
        <w:tc>
          <w:tcPr>
            <w:tcBorders>
              <w:top w:val="none" w:color="FFFFFF" w:sz="0"/>
              <w:left w:val="single" w:color="DDDDDD" w:sz="4"/>
              <w:bottom w:val="single" w:color="DDDDDD" w:sz="4"/>
              <w:right w:val="single" w:color="DDDDDD" w:sz="4"/>
            </w:tcBorders>
            <w:shd w:fill="F9EEEE" w:val="clear"/>
            <w:tcMar>
              <w:top w:type="dxa" w:w="0"/>
              <w:left w:type="dxa" w:w="0"/>
              <w:bottom w:type="dxa" w:w="0"/>
              <w:right w:type="dxa" w:w="0"/>
            </w:tcMar>
          </w:tcPr>
          <w:tbl>
            <w:tblPr>
              <w:tblW w:type="dxa" w:w="115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5700"/>
              <w:gridCol w:w="5820"/>
            </w:tblGrid>
            <w:tr>
              <w:tc>
                <w:tcPr>
                  <w:tcW w:type="dxa" w:w="57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COURSE OVERVIEW</w:t>
                  </w:r>
                </w:p>
                <w:p>
                  <w:pPr>
                    <w:spacing w:after="120" w:before="0"/>
                    <w:jc w:val="both"/>
                  </w:pPr>
                  <w:r>
                    <w:rPr>
                      <w:rFonts w:ascii="Garamond" w:cs="Garamond" w:eastAsia="Garamond" w:hAnsi="Garamond"/>
                      <w:color w:val="333333"/>
                      <w:sz w:val="19"/>
                      <w:szCs w:val="19"/>
                    </w:rPr>
                    <w:t xml:space="preserve">Bridges the gap between policy development and real-world implementation. Participants examine the anatomy of effective policy briefs, explore strategies for stakeholder alignment, and practice translating research and recommendations into actionable change.</w:t>
                  </w:r>
                </w:p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DELIVERY FORMATS:</w:t>
                  </w:r>
                </w:p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Half-day in-person | 2-session virtual workshop | Conference breakout format</w:t>
                  </w:r>
                </w:p>
              </w:tc>
              <w:tc>
                <w:tcPr>
                  <w:tcW w:type="dxa" w:w="5820"/>
                  <w:tcBorders>
                    <w:top w:val="none" w:color="FFFFFF" w:sz="0"/>
                    <w:left w:val="single" w:color="DDDDDD" w:sz="4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LEARNING OUTCOMES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Develop a policy brief structure aligned with decision-maker needs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Apply a stakeholder analysis framework to identify allies and obstacles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Translate data and research into compelling policy narratives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Design an implementation roadmap with accountability checkpoints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Navigate organizational and legislative environments for policy change</w:t>
                  </w:r>
                </w:p>
              </w:tc>
            </w:tr>
          </w:tbl>
          <w:p/>
        </w:tc>
      </w:tr>
    </w:tbl>
    <w:p>
      <w:pPr>
        <w:spacing w:after="16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20"/>
              <w:left w:type="dxa" w:w="200"/>
              <w:bottom w:type="dxa" w:w="120"/>
              <w:right w:type="dxa" w:w="200"/>
            </w:tcMar>
          </w:tcPr>
          <w:tbl>
            <w:tblPr>
              <w:tblW w:type="dxa" w:w="111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7500"/>
              <w:gridCol w:w="3620"/>
            </w:tblGrid>
            <w:tr>
              <w:tc>
                <w:tcPr>
                  <w:tcW w:type="dxa" w:w="75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</w:tcPr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FFFFFF"/>
                      <w:sz w:val="26"/>
                      <w:szCs w:val="26"/>
                    </w:rPr>
                    <w:t xml:space="preserve">PAL-201  |  Federal Compliance Essentials: JJDPA Core Requirements</w:t>
                  </w:r>
                </w:p>
              </w:tc>
              <w:tc>
                <w:tcPr>
                  <w:tcW w:type="dxa" w:w="362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vAlign w:val="center"/>
                </w:tcPr>
                <w:p>
                  <w:pPr>
                    <w:spacing w:after="0" w:before="0"/>
                    <w:jc w:val="right"/>
                  </w:pPr>
                  <w:r>
                    <w:rPr>
                      <w:rFonts w:ascii="Garamond" w:cs="Garamond" w:eastAsia="Garamond" w:hAnsi="Garamond"/>
                      <w:color w:val="C8A84B"/>
                      <w:sz w:val="18"/>
                      <w:szCs w:val="18"/>
                    </w:rPr>
                    <w:t xml:space="preserve">⏱ Half-Day (4 hrs)  |  🎯 SAG Members / State Agency Staff / Grantees</w:t>
                  </w:r>
                </w:p>
              </w:tc>
            </w:tr>
          </w:tbl>
          <w:p/>
        </w:tc>
      </w:tr>
      <w:tr>
        <w:tc>
          <w:tcPr>
            <w:tcBorders>
              <w:top w:val="none" w:color="FFFFFF" w:sz="0"/>
              <w:left w:val="single" w:color="DDDDDD" w:sz="4"/>
              <w:bottom w:val="single" w:color="DDDDDD" w:sz="4"/>
              <w:right w:val="single" w:color="DDDDDD" w:sz="4"/>
            </w:tcBorders>
            <w:shd w:fill="EEF1F8" w:val="clear"/>
            <w:tcMar>
              <w:top w:type="dxa" w:w="0"/>
              <w:left w:type="dxa" w:w="0"/>
              <w:bottom w:type="dxa" w:w="0"/>
              <w:right w:type="dxa" w:w="0"/>
            </w:tcMar>
          </w:tcPr>
          <w:tbl>
            <w:tblPr>
              <w:tblW w:type="dxa" w:w="115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5700"/>
              <w:gridCol w:w="5820"/>
            </w:tblGrid>
            <w:tr>
              <w:tc>
                <w:tcPr>
                  <w:tcW w:type="dxa" w:w="57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COURSE OVERVIEW</w:t>
                  </w:r>
                </w:p>
                <w:p>
                  <w:pPr>
                    <w:spacing w:after="120" w:before="0"/>
                    <w:jc w:val="both"/>
                  </w:pPr>
                  <w:r>
                    <w:rPr>
                      <w:rFonts w:ascii="Garamond" w:cs="Garamond" w:eastAsia="Garamond" w:hAnsi="Garamond"/>
                      <w:color w:val="333333"/>
                      <w:sz w:val="19"/>
                      <w:szCs w:val="19"/>
                    </w:rPr>
                    <w:t xml:space="preserve">A practical, plain-language guide to the Juvenile Justice and Delinquency Prevention Act's four core requirements — deinstitutionalization of status offenders, separation, jail removal, and disproportionate minority contact (DMC). Designed for staff responsible for compliance monitoring and reporting.</w:t>
                  </w:r>
                </w:p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DELIVERY FORMATS:</w:t>
                  </w:r>
                </w:p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In-person half-day | 90-minute virtual overview | Custom compliance training for SAG members</w:t>
                  </w:r>
                </w:p>
              </w:tc>
              <w:tc>
                <w:tcPr>
                  <w:tcW w:type="dxa" w:w="5820"/>
                  <w:tcBorders>
                    <w:top w:val="none" w:color="FFFFFF" w:sz="0"/>
                    <w:left w:val="single" w:color="DDDDDD" w:sz="4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LEARNING OUTCOMES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Identify and define each of the JJDPA's four core requirements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Navigate OJJDP compliance monitoring and reporting systems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Assess current jurisdiction status across all four requirements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Develop corrective action plans in response to compliance gaps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Communicate compliance expectations to local and state stakeholders</w:t>
                  </w:r>
                </w:p>
              </w:tc>
            </w:tr>
          </w:tbl>
          <w:p/>
        </w:tc>
      </w:tr>
    </w:tbl>
    <w:p>
      <w:pPr>
        <w:sectPr>
          <w:headerReference w:type="default" r:id="rId7"/>
          <w:pgSz w:w="12240" w:h="15840" w:orient="portrait"/>
          <w:pgMar w:top="0" w:right="360" w:bottom="720" w:left="360" w:header="708" w:footer="708" w:gutter="0"/>
          <w:pgNumType/>
          <w:docGrid w:linePitch="360"/>
        </w:sectPr>
      </w:pPr>
    </w:p>
    <w:p>
      <w:pPr>
        <w:spacing w:after="14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00"/>
              <w:left w:type="dxa" w:w="200"/>
              <w:bottom w:type="dxa" w:w="100"/>
              <w:right w:type="dxa" w:w="200"/>
            </w:tcMar>
          </w:tcPr>
          <w:p>
            <w:r>
              <w:rPr>
                <w:rFonts w:ascii="Garamond" w:cs="Garamond" w:eastAsia="Garamond" w:hAnsi="Garamond"/>
                <w:b/>
                <w:bCs/>
                <w:color w:val="FFFFFF"/>
                <w:spacing w:val="60"/>
                <w:sz w:val="22"/>
                <w:szCs w:val="22"/>
              </w:rPr>
              <w:t xml:space="preserve">TRACK 3: ORGANIZATIONAL CAPACITY &amp; LEADERSHIP DEVELOPMENT</w:t>
            </w:r>
          </w:p>
        </w:tc>
      </w:tr>
    </w:tbl>
    <w:p>
      <w:pPr>
        <w:spacing w:after="14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990000" w:val="clear"/>
            <w:tcMar>
              <w:top w:type="dxa" w:w="120"/>
              <w:left w:type="dxa" w:w="200"/>
              <w:bottom w:type="dxa" w:w="120"/>
              <w:right w:type="dxa" w:w="200"/>
            </w:tcMar>
          </w:tcPr>
          <w:tbl>
            <w:tblPr>
              <w:tblW w:type="dxa" w:w="111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7500"/>
              <w:gridCol w:w="3620"/>
            </w:tblGrid>
            <w:tr>
              <w:tc>
                <w:tcPr>
                  <w:tcW w:type="dxa" w:w="75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</w:tcPr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FFFFFF"/>
                      <w:sz w:val="26"/>
                      <w:szCs w:val="26"/>
                    </w:rPr>
                    <w:t xml:space="preserve">OLC-101  |  Leading Justice Reform: Skills for Change Agents</w:t>
                  </w:r>
                </w:p>
              </w:tc>
              <w:tc>
                <w:tcPr>
                  <w:tcW w:type="dxa" w:w="362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vAlign w:val="center"/>
                </w:tcPr>
                <w:p>
                  <w:pPr>
                    <w:spacing w:after="0" w:before="0"/>
                    <w:jc w:val="right"/>
                  </w:pPr>
                  <w:r>
                    <w:rPr>
                      <w:rFonts w:ascii="Garamond" w:cs="Garamond" w:eastAsia="Garamond" w:hAnsi="Garamond"/>
                      <w:color w:val="FFFFFF"/>
                      <w:sz w:val="18"/>
                      <w:szCs w:val="18"/>
                    </w:rPr>
                    <w:t xml:space="preserve">⏱ Full-Day (8 hrs)  |  🎯 Emerging &amp; Mid-Level Leaders</w:t>
                  </w:r>
                </w:p>
              </w:tc>
            </w:tr>
          </w:tbl>
          <w:p/>
        </w:tc>
      </w:tr>
      <w:tr>
        <w:tc>
          <w:tcPr>
            <w:tcBorders>
              <w:top w:val="none" w:color="FFFFFF" w:sz="0"/>
              <w:left w:val="single" w:color="DDDDDD" w:sz="4"/>
              <w:bottom w:val="single" w:color="DDDDDD" w:sz="4"/>
              <w:right w:val="single" w:color="DDDDDD" w:sz="4"/>
            </w:tcBorders>
            <w:shd w:fill="F9EEEE" w:val="clear"/>
            <w:tcMar>
              <w:top w:type="dxa" w:w="0"/>
              <w:left w:type="dxa" w:w="0"/>
              <w:bottom w:type="dxa" w:w="0"/>
              <w:right w:type="dxa" w:w="0"/>
            </w:tcMar>
          </w:tcPr>
          <w:tbl>
            <w:tblPr>
              <w:tblW w:type="dxa" w:w="115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5700"/>
              <w:gridCol w:w="5820"/>
            </w:tblGrid>
            <w:tr>
              <w:tc>
                <w:tcPr>
                  <w:tcW w:type="dxa" w:w="57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COURSE OVERVIEW</w:t>
                  </w:r>
                </w:p>
                <w:p>
                  <w:pPr>
                    <w:spacing w:after="120" w:before="0"/>
                    <w:jc w:val="both"/>
                  </w:pPr>
                  <w:r>
                    <w:rPr>
                      <w:rFonts w:ascii="Garamond" w:cs="Garamond" w:eastAsia="Garamond" w:hAnsi="Garamond"/>
                      <w:color w:val="333333"/>
                      <w:sz w:val="19"/>
                      <w:szCs w:val="19"/>
                    </w:rPr>
                    <w:t xml:space="preserve">Designed for justice professionals who are stepping into leadership roles, this course builds the skills needed to lead reform efforts from within — including coalition building, managing resistance, using data to make the case for change, and sustaining reform momentum over time.</w:t>
                  </w:r>
                </w:p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DELIVERY FORMATS:</w:t>
                  </w:r>
                </w:p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Full-day in-person | Multi-session cohort (4 x 2 hrs) | Conference workshop or keynote + workshop combo</w:t>
                  </w:r>
                </w:p>
              </w:tc>
              <w:tc>
                <w:tcPr>
                  <w:tcW w:type="dxa" w:w="5820"/>
                  <w:tcBorders>
                    <w:top w:val="none" w:color="FFFFFF" w:sz="0"/>
                    <w:left w:val="single" w:color="DDDDDD" w:sz="4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990000"/>
                      <w:spacing w:val="40"/>
                      <w:sz w:val="17"/>
                      <w:szCs w:val="17"/>
                    </w:rPr>
                    <w:t xml:space="preserve">LEARNING OUTCOMES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Apply adaptive leadership frameworks to justice reform challenges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Build and sustain cross-sector coalitions for system change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Use data storytelling to influence decision-makers and funders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Navigate organizational resistance and manage change processes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Develop a personal leadership roadmap for sustained reform impact</w:t>
                  </w:r>
                </w:p>
              </w:tc>
            </w:tr>
          </w:tbl>
          <w:p/>
        </w:tc>
      </w:tr>
    </w:tbl>
    <w:p>
      <w:pPr>
        <w:spacing w:after="16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20"/>
              <w:left w:type="dxa" w:w="200"/>
              <w:bottom w:type="dxa" w:w="120"/>
              <w:right w:type="dxa" w:w="200"/>
            </w:tcMar>
          </w:tcPr>
          <w:tbl>
            <w:tblPr>
              <w:tblW w:type="dxa" w:w="111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7500"/>
              <w:gridCol w:w="3620"/>
            </w:tblGrid>
            <w:tr>
              <w:tc>
                <w:tcPr>
                  <w:tcW w:type="dxa" w:w="75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</w:tcPr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FFFFFF"/>
                      <w:sz w:val="26"/>
                      <w:szCs w:val="26"/>
                    </w:rPr>
                    <w:t xml:space="preserve">OLC-201  |  Equity-Centered Strategic Planning for Justice Organizations</w:t>
                  </w:r>
                </w:p>
              </w:tc>
              <w:tc>
                <w:tcPr>
                  <w:tcW w:type="dxa" w:w="362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vAlign w:val="center"/>
                </w:tcPr>
                <w:p>
                  <w:pPr>
                    <w:spacing w:after="0" w:before="0"/>
                    <w:jc w:val="right"/>
                  </w:pPr>
                  <w:r>
                    <w:rPr>
                      <w:rFonts w:ascii="Garamond" w:cs="Garamond" w:eastAsia="Garamond" w:hAnsi="Garamond"/>
                      <w:color w:val="C8A84B"/>
                      <w:sz w:val="18"/>
                      <w:szCs w:val="18"/>
                    </w:rPr>
                    <w:t xml:space="preserve">⏱ 2-Day Intensive  |  🎯 Executive Teams / Board Members / Program Directors</w:t>
                  </w:r>
                </w:p>
              </w:tc>
            </w:tr>
          </w:tbl>
          <w:p/>
        </w:tc>
      </w:tr>
      <w:tr>
        <w:tc>
          <w:tcPr>
            <w:tcBorders>
              <w:top w:val="none" w:color="FFFFFF" w:sz="0"/>
              <w:left w:val="single" w:color="DDDDDD" w:sz="4"/>
              <w:bottom w:val="single" w:color="DDDDDD" w:sz="4"/>
              <w:right w:val="single" w:color="DDDDDD" w:sz="4"/>
            </w:tcBorders>
            <w:shd w:fill="EEF1F8" w:val="clear"/>
            <w:tcMar>
              <w:top w:type="dxa" w:w="0"/>
              <w:left w:type="dxa" w:w="0"/>
              <w:bottom w:type="dxa" w:w="0"/>
              <w:right w:type="dxa" w:w="0"/>
            </w:tcMar>
          </w:tcPr>
          <w:tbl>
            <w:tblPr>
              <w:tblW w:type="dxa" w:w="11520"/>
              <w:tblBorders>
                <w:top w:val="single" w:color="auto" w:sz="4"/>
                <w:left w:val="single" w:color="auto" w:sz="4"/>
                <w:bottom w:val="single" w:color="auto" w:sz="4"/>
                <w:right w:val="single" w:color="auto" w:sz="4"/>
                <w:insideH w:val="single" w:color="auto" w:sz="4"/>
                <w:insideV w:val="single" w:color="auto" w:sz="4"/>
              </w:tblBorders>
            </w:tblPr>
            <w:tblGrid>
              <w:gridCol w:w="5700"/>
              <w:gridCol w:w="5820"/>
            </w:tblGrid>
            <w:tr>
              <w:tc>
                <w:tcPr>
                  <w:tcW w:type="dxa" w:w="5700"/>
                  <w:tcBorders>
                    <w:top w:val="none" w:color="FFFFFF" w:sz="0"/>
                    <w:left w:val="none" w:color="FFFFFF" w:sz="0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COURSE OVERVIEW</w:t>
                  </w:r>
                </w:p>
                <w:p>
                  <w:pPr>
                    <w:spacing w:after="120" w:before="0"/>
                    <w:jc w:val="both"/>
                  </w:pPr>
                  <w:r>
                    <w:rPr>
                      <w:rFonts w:ascii="Garamond" w:cs="Garamond" w:eastAsia="Garamond" w:hAnsi="Garamond"/>
                      <w:color w:val="333333"/>
                      <w:sz w:val="19"/>
                      <w:szCs w:val="19"/>
                    </w:rPr>
                    <w:t xml:space="preserve">A facilitated, two-day strategic planning experience that helps organizations embed racial equity into their mission, programs, and culture. Combines organizational assessment, visioning, and planning — resulting in a concrete equity-centered action plan ready for implementation.</w:t>
                  </w:r>
                </w:p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DELIVERY FORMATS:</w:t>
                  </w:r>
                </w:p>
                <w:p>
                  <w:pPr>
                    <w:spacing w:after="0" w:before="0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2-day in-person intensive (facilitated retreat format) | Virtual over 4 half-days | Custom hybrid</w:t>
                  </w:r>
                </w:p>
              </w:tc>
              <w:tc>
                <w:tcPr>
                  <w:tcW w:type="dxa" w:w="5820"/>
                  <w:tcBorders>
                    <w:top w:val="none" w:color="FFFFFF" w:sz="0"/>
                    <w:left w:val="single" w:color="DDDDDD" w:sz="4"/>
                    <w:bottom w:val="none" w:color="FFFFFF" w:sz="0"/>
                    <w:right w:val="none" w:color="FFFFFF" w:sz="0"/>
                  </w:tcBorders>
                  <w:tcMar>
                    <w:top w:type="dxa" w:w="140"/>
                    <w:left w:type="dxa" w:w="200"/>
                    <w:bottom w:type="dxa" w:w="140"/>
                    <w:right w:type="dxa" w:w="200"/>
                  </w:tcMar>
                </w:tcPr>
                <w:p>
                  <w:pPr>
                    <w:spacing w:after="60" w:before="0"/>
                  </w:pPr>
                  <w:r>
                    <w:rPr>
                      <w:rFonts w:ascii="Garamond" w:cs="Garamond" w:eastAsia="Garamond" w:hAnsi="Garamond"/>
                      <w:b/>
                      <w:bCs/>
                      <w:color w:val="0B1F4D"/>
                      <w:spacing w:val="40"/>
                      <w:sz w:val="17"/>
                      <w:szCs w:val="17"/>
                    </w:rPr>
                    <w:t xml:space="preserve">LEARNING OUTCOMES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Conduct an equity audit of current organizational programs and policies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Articulate an equity vision and connect it to organizational mission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Identify structural barriers and design equity-centered interventions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Develop a 12-month equity action plan with measurable indicators</w:t>
                  </w:r>
                </w:p>
                <w:p>
                  <w:pPr>
                    <w:pStyle w:val="ListParagraph"/>
                    <w:numPr>
                      <w:ilvl w:val="0"/>
                      <w:numId w:val="2"/>
                    </w:numPr>
                    <w:spacing w:after="36" w:before="36"/>
                  </w:pPr>
                  <w:r>
                    <w:rPr>
                      <w:rFonts w:ascii="Garamond" w:cs="Garamond" w:eastAsia="Garamond" w:hAnsi="Garamond"/>
                      <w:color w:val="333333"/>
                      <w:sz w:val="18"/>
                      <w:szCs w:val="18"/>
                    </w:rPr>
                    <w:t xml:space="preserve">Build internal accountability structures for equity commitments</w:t>
                  </w:r>
                </w:p>
              </w:tc>
            </w:tr>
          </w:tbl>
          <w:p/>
        </w:tc>
      </w:tr>
    </w:tbl>
    <w:p>
      <w:pPr>
        <w:spacing w:after="20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100"/>
              <w:left w:type="dxa" w:w="200"/>
              <w:bottom w:type="dxa" w:w="100"/>
              <w:right w:type="dxa" w:w="200"/>
            </w:tcMar>
          </w:tcPr>
          <w:p>
            <w:r>
              <w:rPr>
                <w:rFonts w:ascii="Garamond" w:cs="Garamond" w:eastAsia="Garamond" w:hAnsi="Garamond"/>
                <w:b/>
                <w:bCs/>
                <w:color w:val="FFFFFF"/>
                <w:spacing w:val="60"/>
                <w:sz w:val="22"/>
                <w:szCs w:val="22"/>
              </w:rPr>
              <w:t xml:space="preserve">DELIVERY FORMATS &amp; CUSTOMIZATION</w:t>
            </w:r>
          </w:p>
        </w:tc>
      </w:tr>
    </w:tbl>
    <w:p>
      <w:pPr>
        <w:spacing w:after="12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760"/>
        <w:gridCol w:w="160"/>
        <w:gridCol w:w="2760"/>
        <w:gridCol w:w="160"/>
        <w:gridCol w:w="2760"/>
        <w:gridCol w:w="160"/>
        <w:gridCol w:w="2760"/>
      </w:tblGrid>
      <w:tr>
        <w:tc>
          <w:tcPr>
            <w:tcW w:type="dxa" w:w="2760"/>
            <w:tcBorders>
              <w:top w:val="single" w:color="0B1F4D" w:sz="8"/>
              <w:left w:val="none" w:color="FFFFFF" w:sz="0"/>
              <w:bottom w:val="none" w:color="FFFFFF" w:sz="0"/>
              <w:right w:val="none" w:color="FFFFFF" w:sz="0"/>
            </w:tcBorders>
            <w:shd w:fill="EEF1F8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🏫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20"/>
                <w:szCs w:val="20"/>
              </w:rPr>
              <w:t xml:space="preserve">In-Person Workshop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Half-day, full-day, or multi-day formats. Fully facilitated with materials, activities, and participant workbooks included.</w:t>
            </w:r>
          </w:p>
        </w:tc>
        <w:tc>
          <w:tcPr>
            <w:tcW w:type="dxa" w:w="16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760"/>
            <w:tcBorders>
              <w:top w:val="single" w:color="990000" w:sz="8"/>
              <w:left w:val="none" w:color="FFFFFF" w:sz="0"/>
              <w:bottom w:val="none" w:color="FFFFFF" w:sz="0"/>
              <w:right w:val="none" w:color="FFFFFF" w:sz="0"/>
            </w:tcBorders>
            <w:shd w:fill="F9EEEE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💻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z w:val="20"/>
                <w:szCs w:val="20"/>
              </w:rPr>
              <w:t xml:space="preserve">Virtual Instructor-Led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Live virtual sessions via Zoom or Teams. Available as single sessions or multi-part series. Includes breakout activities.</w:t>
            </w:r>
          </w:p>
        </w:tc>
        <w:tc>
          <w:tcPr>
            <w:tcW w:type="dxa" w:w="16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760"/>
            <w:tcBorders>
              <w:top w:val="single" w:color="0B1F4D" w:sz="8"/>
              <w:left w:val="none" w:color="FFFFFF" w:sz="0"/>
              <w:bottom w:val="none" w:color="FFFFFF" w:sz="0"/>
              <w:right w:val="none" w:color="FFFFFF" w:sz="0"/>
            </w:tcBorders>
            <w:shd w:fill="EEF1F8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💡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0B1F4D"/>
                <w:sz w:val="20"/>
                <w:szCs w:val="20"/>
              </w:rPr>
              <w:t xml:space="preserve">Train-the-Trainer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Equip your staff to deliver training internally. Includes facilitation guide, slide decks, and coaching support.</w:t>
            </w:r>
          </w:p>
        </w:tc>
        <w:tc>
          <w:tcPr>
            <w:tcW w:type="dxa" w:w="160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r>
              <w:t xml:space="preserve"/>
            </w:r>
          </w:p>
        </w:tc>
        <w:tc>
          <w:tcPr>
            <w:tcW w:type="dxa" w:w="2760"/>
            <w:tcBorders>
              <w:top w:val="single" w:color="990000" w:sz="8"/>
              <w:left w:val="none" w:color="FFFFFF" w:sz="0"/>
              <w:bottom w:val="none" w:color="FFFFFF" w:sz="0"/>
              <w:right w:val="none" w:color="FFFFFF" w:sz="0"/>
            </w:tcBorders>
            <w:shd w:fill="F9EEEE" w:val="clear"/>
            <w:tcMar>
              <w:top w:type="dxa" w:w="140"/>
              <w:left w:type="dxa" w:w="140"/>
              <w:bottom w:type="dxa" w:w="140"/>
              <w:right w:type="dxa" w:w="140"/>
            </w:tcMar>
          </w:tcPr>
          <w:p>
            <w:pPr>
              <w:spacing w:after="60" w:before="0"/>
            </w:pPr>
            <w:r>
              <w:rPr>
                <w:rFonts w:ascii="Segoe UI Emoji" w:cs="Segoe UI Emoji" w:eastAsia="Segoe UI Emoji" w:hAnsi="Segoe UI Emoji"/>
                <w:sz w:val="32"/>
                <w:szCs w:val="32"/>
              </w:rPr>
              <w:t xml:space="preserve">⚙️</w:t>
            </w:r>
          </w:p>
          <w:p>
            <w:pPr>
              <w:spacing w:after="80" w:before="0"/>
            </w:pPr>
            <w:r>
              <w:rPr>
                <w:rFonts w:ascii="Garamond" w:cs="Garamond" w:eastAsia="Garamond" w:hAnsi="Garamond"/>
                <w:b/>
                <w:bCs/>
                <w:color w:val="990000"/>
                <w:sz w:val="20"/>
                <w:szCs w:val="20"/>
              </w:rPr>
              <w:t xml:space="preserve">Custom Design</w:t>
            </w:r>
          </w:p>
          <w:p>
            <w:pPr>
              <w:spacing w:after="0" w:before="0"/>
            </w:pPr>
            <w:r>
              <w:rPr>
                <w:rFonts w:ascii="Garamond" w:cs="Garamond" w:eastAsia="Garamond" w:hAnsi="Garamond"/>
                <w:color w:val="444444"/>
                <w:sz w:val="17"/>
                <w:szCs w:val="17"/>
              </w:rPr>
              <w:t xml:space="preserve">No existing course fits? We design from scratch. Share your audience, goals, and timeline — we build the curriculum.</w:t>
            </w:r>
          </w:p>
        </w:tc>
      </w:tr>
    </w:tbl>
    <w:p>
      <w:pPr>
        <w:spacing w:after="200" w:before="0"/>
      </w:pPr>
      <w:r>
        <w:t xml:space="preserve"/>
      </w:r>
    </w:p>
    <w:tbl>
      <w:tblPr>
        <w:tblW w:type="dxa" w:w="1152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520"/>
      </w:tblGrid>
      <w:tr>
        <w:tc>
          <w:tcPr>
            <w:tcBorders>
              <w:top w:val="single" w:color="990000" w:sz="12"/>
              <w:left w:val="none" w:color="FFFFFF" w:sz="0"/>
              <w:bottom w:val="none" w:color="FFFFFF" w:sz="0"/>
              <w:right w:val="none" w:color="FFFFFF" w:sz="0"/>
            </w:tcBorders>
            <w:shd w:fill="0B1F4D" w:val="clear"/>
            <w:tcMar>
              <w:top w:type="dxa" w:w="200"/>
              <w:left w:type="dxa" w:w="480"/>
              <w:bottom w:type="dxa" w:w="200"/>
              <w:right w:type="dxa" w:w="480"/>
            </w:tcMar>
          </w:tcPr>
          <w:p>
            <w:pPr>
              <w:spacing w:after="80" w:before="0"/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FFFFFF"/>
                <w:sz w:val="30"/>
                <w:szCs w:val="30"/>
              </w:rPr>
              <w:t xml:space="preserve">Inquire About Training</w:t>
            </w:r>
          </w:p>
          <w:p>
            <w:pPr>
              <w:spacing w:after="120" w:before="0"/>
              <w:jc w:val="center"/>
            </w:pPr>
            <w:r>
              <w:rPr>
                <w:rFonts w:ascii="Garamond" w:cs="Garamond" w:eastAsia="Garamond" w:hAnsi="Garamond"/>
                <w:i/>
                <w:iCs/>
                <w:color w:val="BBBBBB"/>
                <w:sz w:val="19"/>
                <w:szCs w:val="19"/>
              </w:rPr>
              <w:t xml:space="preserve">All training programs can be customized for your organization's needs, audience, and timeline. Volume pricing available for multi-day and multi-course engagements.</w:t>
            </w:r>
          </w:p>
          <w:p>
            <w:pPr>
              <w:jc w:val="center"/>
            </w:pPr>
            <w:r>
              <w:rPr>
                <w:rFonts w:ascii="Garamond" w:cs="Garamond" w:eastAsia="Garamond" w:hAnsi="Garamond"/>
                <w:b/>
                <w:bCs/>
                <w:color w:val="C8A84B"/>
                <w:sz w:val="21"/>
                <w:szCs w:val="21"/>
              </w:rPr>
              <w:t xml:space="preserve">reginamitchell@tmfconsulting.org   •   (202) 670-4052   •   www.themitchellfirm.org</w:t>
            </w:r>
          </w:p>
        </w:tc>
      </w:tr>
    </w:tbl>
    <w:sectPr>
      <w:headerReference w:type="default" r:id="rId8"/>
      <w:pgSz w:w="12240" w:h="15840" w:orient="portrait"/>
      <w:pgMar w:top="0" w:right="360" w:bottom="0" w:left="36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0" w:before="0"/>
      <w:jc w:val="center"/>
    </w:pPr>
    <w:r>
      <w:drawing>
        <wp:inline distT="0" distB="0" distL="0" distR="0">
          <wp:extent cx="9715500" cy="3886200"/>
          <wp:effectExtent t="0" r="0" b="0" l="0"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388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990000" w:sz="6"/>
      </w:pBdr>
      <w:spacing w:after="0" w:before="0"/>
    </w:pPr>
    <w:r>
      <w:t xml:space="preserve"/>
    </w:r>
  </w:p>
  <w:tbl>
    <w:tblPr>
      <w:tblW w:type="dxa" w:w="12240"/>
      <w:tblBorders>
        <w:top w:val="single" w:color="auto" w:sz="4"/>
        <w:left w:val="single" w:color="auto" w:sz="4"/>
        <w:bottom w:val="single" w:color="auto" w:sz="4"/>
        <w:right w:val="single" w:color="auto" w:sz="4"/>
        <w:insideH w:val="single" w:color="auto" w:sz="4"/>
        <w:insideV w:val="single" w:color="auto" w:sz="4"/>
      </w:tblBorders>
    </w:tblPr>
    <w:tblGrid>
      <w:gridCol w:w="12240"/>
    </w:tblGrid>
    <w:tr>
      <w:tc>
        <w:tcPr>
          <w:tcBorders>
            <w:top w:val="none" w:color="FFFFFF" w:sz="0"/>
            <w:left w:val="none" w:color="FFFFFF" w:sz="0"/>
            <w:bottom w:val="none" w:color="FFFFFF" w:sz="0"/>
            <w:right w:val="none" w:color="FFFFFF" w:sz="0"/>
          </w:tcBorders>
          <w:shd w:fill="0B1F4D" w:val="clear"/>
          <w:tcMar>
            <w:top w:type="dxa" w:w="100"/>
            <w:left w:type="dxa" w:w="720"/>
            <w:bottom w:type="dxa" w:w="100"/>
            <w:right w:type="dxa" w:w="720"/>
          </w:tcMar>
        </w:tcPr>
        <w:p>
          <w:pPr>
            <w:jc w:val="center"/>
          </w:pPr>
          <w:r>
            <w:rPr>
              <w:rFonts w:ascii="Garamond" w:cs="Garamond" w:eastAsia="Garamond" w:hAnsi="Garamond"/>
              <w:b/>
              <w:bCs/>
              <w:color w:val="FFFFFF"/>
              <w:spacing w:val="80"/>
              <w:sz w:val="28"/>
              <w:szCs w:val="28"/>
            </w:rPr>
            <w:t xml:space="preserve">TRAINING CATALOG  •  The Mitchell Firm, LLC</w:t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0" w:before="0"/>
      <w:jc w:val="center"/>
    </w:pPr>
    <w:r>
      <w:drawing>
        <wp:inline distT="0" distB="0" distL="0" distR="0">
          <wp:extent cx="9715500" cy="3886200"/>
          <wp:effectExtent t="0" r="0" b="0" l="0"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388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990000" w:sz="6"/>
      </w:pBdr>
      <w:spacing w:after="0" w:before="0"/>
    </w:pPr>
    <w:r>
      <w:t xml:space="preserve"/>
    </w:r>
  </w:p>
  <w:tbl>
    <w:tblPr>
      <w:tblW w:type="dxa" w:w="12240"/>
      <w:tblBorders>
        <w:top w:val="single" w:color="auto" w:sz="4"/>
        <w:left w:val="single" w:color="auto" w:sz="4"/>
        <w:bottom w:val="single" w:color="auto" w:sz="4"/>
        <w:right w:val="single" w:color="auto" w:sz="4"/>
        <w:insideH w:val="single" w:color="auto" w:sz="4"/>
        <w:insideV w:val="single" w:color="auto" w:sz="4"/>
      </w:tblBorders>
    </w:tblPr>
    <w:tblGrid>
      <w:gridCol w:w="12240"/>
    </w:tblGrid>
    <w:tr>
      <w:tc>
        <w:tcPr>
          <w:tcBorders>
            <w:top w:val="none" w:color="FFFFFF" w:sz="0"/>
            <w:left w:val="none" w:color="FFFFFF" w:sz="0"/>
            <w:bottom w:val="none" w:color="FFFFFF" w:sz="0"/>
            <w:right w:val="none" w:color="FFFFFF" w:sz="0"/>
          </w:tcBorders>
          <w:shd w:fill="0B1F4D" w:val="clear"/>
          <w:tcMar>
            <w:top w:type="dxa" w:w="100"/>
            <w:left w:type="dxa" w:w="720"/>
            <w:bottom w:type="dxa" w:w="100"/>
            <w:right w:type="dxa" w:w="720"/>
          </w:tcMar>
        </w:tcPr>
        <w:p>
          <w:pPr>
            <w:jc w:val="center"/>
          </w:pPr>
          <w:r>
            <w:rPr>
              <w:rFonts w:ascii="Garamond" w:cs="Garamond" w:eastAsia="Garamond" w:hAnsi="Garamond"/>
              <w:b/>
              <w:bCs/>
              <w:color w:val="FFFFFF"/>
              <w:spacing w:val="80"/>
              <w:sz w:val="28"/>
              <w:szCs w:val="28"/>
            </w:rPr>
            <w:t xml:space="preserve">TRAINING CATALOG  •  The Mitchell Firm, LLC</w:t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✓"/>
      <w:lvlJc w:val="left"/>
      <w:pPr>
        <w:ind w:left="440" w:hanging="220"/>
      </w:pPr>
      <w:rPr>
        <w:color w:val="990000"/>
      </w:r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cs="Garamond" w:eastAsia="Garamond" w:hAnsi="Garamond"/>
        <w:sz w:val="20"/>
        <w:szCs w:val="20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25387e5e00c49597aad57cc9722a94d5706fd4e6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25387e5e00c49597aad57cc9722a94d5706fd4e6.png"/></Relationships>
</file>

<file path=word/_rels/header2.xml.rels><?xml version="1.0" encoding="UTF-8"?><Relationships xmlns="http://schemas.openxmlformats.org/package/2006/relationships"><Relationship Id="rId0" Type="http://schemas.openxmlformats.org/officeDocument/2006/relationships/image" Target="media/25387e5e00c49597aad57cc9722a94d5706fd4e6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2026-06-01T05:25:27.332Z</dcterms:created>
  <dcterms:modified xsi:type="dcterms:W3CDTF">2026-06-01T05:25:27.333Z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