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0"/>
        <w:jc w:val="center"/>
      </w:pPr>
      <w:r>
        <w:drawing>
          <wp:inline distT="0" distB="0" distL="0" distR="0">
            <wp:extent cx="9715500" cy="3886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715500" cy="3886200"/>
                    </a:xfrm>
                    <a:prstGeom prst="rect">
                      <a:avLst/>
                    </a:prstGeom>
                  </pic:spPr>
                </pic:pic>
              </a:graphicData>
            </a:graphic>
          </wp:inline>
        </w:drawing>
      </w:r>
    </w:p>
    <w:p>
      <w:pPr>
        <w:pBdr>
          <w:bottom w:val="single" w:color="990000" w:sz="6"/>
        </w:pBd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W w:type="dxa" w:w="12240"/>
            <w:tcBorders>
              <w:top w:val="none" w:color="FFFFFF" w:sz="0"/>
              <w:left w:val="none" w:color="FFFFFF" w:sz="0"/>
              <w:bottom w:val="none" w:color="FFFFFF" w:sz="0"/>
              <w:right w:val="none" w:color="FFFFFF" w:sz="0"/>
            </w:tcBorders>
            <w:shd w:fill="0B1F4D" w:val="clear"/>
            <w:tcMar>
              <w:top w:type="dxa" w:w="160"/>
              <w:left w:type="dxa" w:w="720"/>
              <w:bottom w:type="dxa" w:w="160"/>
              <w:right w:type="dxa" w:w="720"/>
            </w:tcMar>
          </w:tcPr>
          <w:p>
            <w:pPr>
              <w:jc w:val="center"/>
            </w:pPr>
            <w:r>
              <w:rPr>
                <w:rFonts w:ascii="Garamond" w:cs="Garamond" w:eastAsia="Garamond" w:hAnsi="Garamond"/>
                <w:b/>
                <w:bCs/>
                <w:color w:val="FFFFFF"/>
                <w:spacing w:val="120"/>
                <w:sz w:val="36"/>
                <w:szCs w:val="36"/>
              </w:rPr>
              <w:t xml:space="preserve">EXECUTIVE CAPABILITY STATEMENT</w:t>
            </w:r>
          </w:p>
        </w:tc>
      </w:tr>
    </w:tbl>
    <w:p>
      <w:pP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7960"/>
        <w:gridCol w:w="4280"/>
      </w:tblGrid>
      <w:tr>
        <w:tc>
          <w:tcPr>
            <w:tcW w:type="dxa" w:w="7960"/>
            <w:tcBorders>
              <w:top w:val="none" w:color="FFFFFF" w:sz="0"/>
              <w:left w:val="none" w:color="FFFFFF" w:sz="0"/>
              <w:bottom w:val="none" w:color="FFFFFF" w:sz="0"/>
              <w:right w:val="none" w:color="FFFFFF" w:sz="0"/>
            </w:tcBorders>
            <w:tcMar>
              <w:top w:type="dxa" w:w="320"/>
              <w:left w:type="dxa" w:w="720"/>
              <w:bottom w:type="dxa" w:w="320"/>
              <w:right w:type="dxa" w:w="360"/>
            </w:tcMar>
          </w:tcPr>
          <w:p>
            <w:pPr>
              <w:spacing w:after="60" w:before="0"/>
            </w:pPr>
            <w:r>
              <w:rPr>
                <w:rFonts w:ascii="Garamond" w:cs="Garamond" w:eastAsia="Garamond" w:hAnsi="Garamond"/>
                <w:b/>
                <w:bCs/>
                <w:color w:val="0B1F4D"/>
                <w:sz w:val="52"/>
                <w:szCs w:val="52"/>
              </w:rPr>
              <w:t xml:space="preserve">REGINA MITCHELL</w:t>
            </w:r>
          </w:p>
          <w:p>
            <w:pPr>
              <w:spacing w:after="200" w:before="0"/>
            </w:pPr>
            <w:r>
              <w:rPr>
                <w:rFonts w:ascii="Garamond" w:cs="Garamond" w:eastAsia="Garamond" w:hAnsi="Garamond"/>
                <w:i/>
                <w:iCs/>
                <w:color w:val="990000"/>
                <w:sz w:val="24"/>
                <w:szCs w:val="24"/>
              </w:rPr>
              <w:t xml:space="preserve">Principal Consultant  |  Justice Reform Strategist</w:t>
            </w:r>
          </w:p>
          <w:p>
            <w:pPr>
              <w:spacing w:after="140" w:before="0"/>
              <w:jc w:val="both"/>
            </w:pPr>
            <w:r>
              <w:rPr>
                <w:rFonts w:ascii="Garamond" w:cs="Garamond" w:eastAsia="Garamond" w:hAnsi="Garamond"/>
                <w:color w:val="333333"/>
                <w:sz w:val="20"/>
                <w:szCs w:val="20"/>
              </w:rPr>
              <w:t xml:space="preserve">Regina Mitchell is a nationally recognized expert in juvenile and criminal justice reform with over 20 years of transformative experience spanning direct service, research, policy development, and statewide program administration. As Principal Consultant of The Mitchell Firm, LLC, she equips government agencies, nonprofits, and justice-system stakeholders with evidence-informed strategies to reduce disparities, strengthen probation systems, and advance equitable outcomes for youth and families.</w:t>
            </w:r>
          </w:p>
          <w:p>
            <w:pPr>
              <w:spacing w:after="0" w:before="0"/>
              <w:jc w:val="both"/>
            </w:pPr>
            <w:r>
              <w:rPr>
                <w:rFonts w:ascii="Garamond" w:cs="Garamond" w:eastAsia="Garamond" w:hAnsi="Garamond"/>
                <w:color w:val="333333"/>
                <w:sz w:val="20"/>
                <w:szCs w:val="20"/>
              </w:rPr>
              <w:t xml:space="preserve">Her career reflects a rare combination of on-the-ground practice and high-level leadership — from gang investigation and probation work to statewide JDAI administration, federal policy, and university instruction. Regina brings both the practitioner's credibility and the strategist's rigor to every engagement.</w:t>
            </w:r>
          </w:p>
        </w:tc>
        <w:tc>
          <w:tcPr>
            <w:tcW w:type="dxa" w:w="4280"/>
            <w:tcBorders>
              <w:top w:val="none" w:color="FFFFFF" w:sz="0"/>
              <w:left w:val="single" w:color="990000" w:sz="8"/>
              <w:bottom w:val="none" w:color="FFFFFF" w:sz="0"/>
              <w:right w:val="none" w:color="FFFFFF" w:sz="0"/>
            </w:tcBorders>
            <w:shd w:fill="EEF1F8" w:val="clear"/>
            <w:tcMar>
              <w:top w:type="dxa" w:w="320"/>
              <w:left w:type="dxa" w:w="320"/>
              <w:bottom w:type="dxa" w:w="320"/>
              <w:right w:type="dxa" w:w="480"/>
            </w:tcMar>
          </w:tcPr>
          <w:p>
            <w:pPr>
              <w:pBdr>
                <w:bottom w:val="single" w:color="990000" w:sz="4"/>
              </w:pBdr>
              <w:spacing w:after="140" w:before="0"/>
            </w:pPr>
            <w:r>
              <w:rPr>
                <w:rFonts w:ascii="Garamond" w:cs="Garamond" w:eastAsia="Garamond" w:hAnsi="Garamond"/>
                <w:b/>
                <w:bCs/>
                <w:color w:val="0B1F4D"/>
                <w:spacing w:val="60"/>
                <w:sz w:val="22"/>
                <w:szCs w:val="22"/>
              </w:rPr>
              <w:t xml:space="preserve">CONTACT</w:t>
            </w:r>
          </w:p>
          <w:p>
            <w:pPr>
              <w:spacing w:after="60" w:before="80"/>
            </w:pPr>
            <w:r>
              <w:rPr>
                <w:rFonts w:ascii="Garamond" w:cs="Garamond" w:eastAsia="Garamond" w:hAnsi="Garamond"/>
                <w:color w:val="0B1F4D"/>
                <w:sz w:val="18"/>
                <w:szCs w:val="18"/>
              </w:rPr>
              <w:t xml:space="preserve">🌐  www.themitchellfirm.org</w:t>
            </w:r>
          </w:p>
          <w:p>
            <w:pPr>
              <w:spacing w:after="60" w:before="60"/>
            </w:pPr>
            <w:r>
              <w:rPr>
                <w:rFonts w:ascii="Garamond" w:cs="Garamond" w:eastAsia="Garamond" w:hAnsi="Garamond"/>
                <w:color w:val="0B1F4D"/>
                <w:sz w:val="18"/>
                <w:szCs w:val="18"/>
              </w:rPr>
              <w:t xml:space="preserve">✉  reginamitchell@tmfconsulting.org</w:t>
            </w:r>
          </w:p>
          <w:p>
            <w:pPr>
              <w:spacing w:after="60" w:before="60"/>
            </w:pPr>
            <w:r>
              <w:rPr>
                <w:rFonts w:ascii="Garamond" w:cs="Garamond" w:eastAsia="Garamond" w:hAnsi="Garamond"/>
                <w:color w:val="0B1F4D"/>
                <w:sz w:val="18"/>
                <w:szCs w:val="18"/>
              </w:rPr>
              <w:t xml:space="preserve">☎  (202) 670-4052</w:t>
            </w:r>
          </w:p>
          <w:p>
            <w:pPr>
              <w:pBdr>
                <w:bottom w:val="single" w:color="990000" w:sz="4"/>
              </w:pBdr>
              <w:spacing w:after="120" w:before="80"/>
            </w:pPr>
            <w:r>
              <w:rPr>
                <w:rFonts w:ascii="Garamond" w:cs="Garamond" w:eastAsia="Garamond" w:hAnsi="Garamond"/>
                <w:b/>
                <w:bCs/>
                <w:color w:val="0B1F4D"/>
                <w:spacing w:val="60"/>
                <w:sz w:val="22"/>
                <w:szCs w:val="22"/>
              </w:rPr>
              <w:t xml:space="preserve">CORE COMPETENCIES</w:t>
            </w:r>
          </w:p>
          <w:p>
            <w:pPr>
              <w:spacing w:after="36" w:before="36"/>
            </w:pPr>
            <w:r>
              <w:rPr>
                <w:rFonts w:ascii="Garamond" w:cs="Garamond" w:eastAsia="Garamond" w:hAnsi="Garamond"/>
                <w:color w:val="333333"/>
                <w:sz w:val="17"/>
                <w:szCs w:val="17"/>
              </w:rPr>
              <w:t xml:space="preserve">▪  Juvenile Justice Reform</w:t>
            </w:r>
          </w:p>
          <w:p>
            <w:pPr>
              <w:spacing w:after="36" w:before="36"/>
            </w:pPr>
            <w:r>
              <w:rPr>
                <w:rFonts w:ascii="Garamond" w:cs="Garamond" w:eastAsia="Garamond" w:hAnsi="Garamond"/>
                <w:color w:val="333333"/>
                <w:sz w:val="17"/>
                <w:szCs w:val="17"/>
              </w:rPr>
              <w:t xml:space="preserve">▪  Racial &amp; Ethnic Disparity Reduction</w:t>
            </w:r>
          </w:p>
          <w:p>
            <w:pPr>
              <w:spacing w:after="36" w:before="36"/>
            </w:pPr>
            <w:r>
              <w:rPr>
                <w:rFonts w:ascii="Garamond" w:cs="Garamond" w:eastAsia="Garamond" w:hAnsi="Garamond"/>
                <w:color w:val="333333"/>
                <w:sz w:val="17"/>
                <w:szCs w:val="17"/>
              </w:rPr>
              <w:t xml:space="preserve">▪  Probation Transformation</w:t>
            </w:r>
          </w:p>
          <w:p>
            <w:pPr>
              <w:spacing w:after="36" w:before="36"/>
            </w:pPr>
            <w:r>
              <w:rPr>
                <w:rFonts w:ascii="Garamond" w:cs="Garamond" w:eastAsia="Garamond" w:hAnsi="Garamond"/>
                <w:color w:val="333333"/>
                <w:sz w:val="17"/>
                <w:szCs w:val="17"/>
              </w:rPr>
              <w:t xml:space="preserve">▪  Policy Development &amp; Analysis</w:t>
            </w:r>
          </w:p>
          <w:p>
            <w:pPr>
              <w:spacing w:after="36" w:before="36"/>
            </w:pPr>
            <w:r>
              <w:rPr>
                <w:rFonts w:ascii="Garamond" w:cs="Garamond" w:eastAsia="Garamond" w:hAnsi="Garamond"/>
                <w:color w:val="333333"/>
                <w:sz w:val="17"/>
                <w:szCs w:val="17"/>
              </w:rPr>
              <w:t xml:space="preserve">▪  Statewide Program Management</w:t>
            </w:r>
          </w:p>
          <w:p>
            <w:pPr>
              <w:spacing w:after="36" w:before="36"/>
            </w:pPr>
            <w:r>
              <w:rPr>
                <w:rFonts w:ascii="Garamond" w:cs="Garamond" w:eastAsia="Garamond" w:hAnsi="Garamond"/>
                <w:color w:val="333333"/>
                <w:sz w:val="17"/>
                <w:szCs w:val="17"/>
              </w:rPr>
              <w:t xml:space="preserve">▪  JDAI Implementation &amp; Support</w:t>
            </w:r>
          </w:p>
          <w:p>
            <w:pPr>
              <w:spacing w:after="36" w:before="36"/>
            </w:pPr>
            <w:r>
              <w:rPr>
                <w:rFonts w:ascii="Garamond" w:cs="Garamond" w:eastAsia="Garamond" w:hAnsi="Garamond"/>
                <w:color w:val="333333"/>
                <w:sz w:val="17"/>
                <w:szCs w:val="17"/>
              </w:rPr>
              <w:t xml:space="preserve">▪  Training &amp; Technical Assistance</w:t>
            </w:r>
          </w:p>
          <w:p>
            <w:pPr>
              <w:spacing w:after="36" w:before="36"/>
            </w:pPr>
            <w:r>
              <w:rPr>
                <w:rFonts w:ascii="Garamond" w:cs="Garamond" w:eastAsia="Garamond" w:hAnsi="Garamond"/>
                <w:color w:val="333333"/>
                <w:sz w:val="17"/>
                <w:szCs w:val="17"/>
              </w:rPr>
              <w:t xml:space="preserve">▪  Federal Compliance &amp; Reporting</w:t>
            </w:r>
          </w:p>
          <w:p>
            <w:pPr>
              <w:spacing w:after="36" w:before="36"/>
            </w:pPr>
            <w:r>
              <w:rPr>
                <w:rFonts w:ascii="Garamond" w:cs="Garamond" w:eastAsia="Garamond" w:hAnsi="Garamond"/>
                <w:color w:val="333333"/>
                <w:sz w:val="17"/>
                <w:szCs w:val="17"/>
              </w:rPr>
              <w:t xml:space="preserve">▪  Coalition &amp; Stakeholder Engagement</w:t>
            </w:r>
          </w:p>
          <w:p>
            <w:pPr>
              <w:spacing w:after="36" w:before="36"/>
            </w:pPr>
            <w:r>
              <w:rPr>
                <w:rFonts w:ascii="Garamond" w:cs="Garamond" w:eastAsia="Garamond" w:hAnsi="Garamond"/>
                <w:color w:val="333333"/>
                <w:sz w:val="17"/>
                <w:szCs w:val="17"/>
              </w:rPr>
              <w:t xml:space="preserve">▪  Research &amp; Curriculum Design</w:t>
            </w:r>
          </w:p>
        </w:tc>
      </w:tr>
    </w:tbl>
    <w:p>
      <w:pPr>
        <w:spacing w:after="0" w:before="20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2328"/>
        <w:gridCol w:w="100"/>
        <w:gridCol w:w="2328"/>
        <w:gridCol w:w="100"/>
        <w:gridCol w:w="2328"/>
        <w:gridCol w:w="100"/>
        <w:gridCol w:w="2328"/>
        <w:gridCol w:w="100"/>
        <w:gridCol w:w="2328"/>
        <w:gridCol w:w="100"/>
        <w:gridCol w:w="2200"/>
      </w:tblGrid>
      <w:tr>
        <w:tc>
          <w:tcPr>
            <w:tcW w:type="dxa" w:w="2328"/>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20+</w:t>
            </w:r>
          </w:p>
          <w:p>
            <w:pPr>
              <w:spacing w:after="0" w:before="0"/>
              <w:jc w:val="center"/>
            </w:pPr>
            <w:r>
              <w:rPr>
                <w:rFonts w:ascii="Garamond" w:cs="Garamond" w:eastAsia="Garamond" w:hAnsi="Garamond"/>
                <w:color w:val="FFFFFF"/>
                <w:sz w:val="16"/>
                <w:szCs w:val="16"/>
              </w:rPr>
              <w:t xml:space="preserve">Years in Justice Reform</w:t>
            </w:r>
          </w:p>
        </w:tc>
        <w:tc>
          <w:tcPr>
            <w:tcW w:type="dxa" w:w="100"/>
            <w:tcBorders>
              <w:top w:val="none" w:color="FFFFFF" w:sz="0"/>
              <w:left w:val="none" w:color="FFFFFF" w:sz="0"/>
              <w:bottom w:val="none" w:color="FFFFFF" w:sz="0"/>
              <w:right w:val="none" w:color="FFFFFF" w:sz="0"/>
            </w:tcBorders>
          </w:tcPr>
          <w:p>
            <w:r>
              <w:t xml:space="preserve"/>
            </w:r>
          </w:p>
        </w:tc>
        <w:tc>
          <w:tcPr>
            <w:tcW w:type="dxa" w:w="2328"/>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50+</w:t>
            </w:r>
          </w:p>
          <w:p>
            <w:pPr>
              <w:spacing w:after="0" w:before="0"/>
              <w:jc w:val="center"/>
            </w:pPr>
            <w:r>
              <w:rPr>
                <w:rFonts w:ascii="Garamond" w:cs="Garamond" w:eastAsia="Garamond" w:hAnsi="Garamond"/>
                <w:color w:val="FFFFFF"/>
                <w:sz w:val="16"/>
                <w:szCs w:val="16"/>
              </w:rPr>
              <w:t xml:space="preserve">Agencies &amp; Orgs Served</w:t>
            </w:r>
          </w:p>
        </w:tc>
        <w:tc>
          <w:tcPr>
            <w:tcW w:type="dxa" w:w="100"/>
            <w:tcBorders>
              <w:top w:val="none" w:color="FFFFFF" w:sz="0"/>
              <w:left w:val="none" w:color="FFFFFF" w:sz="0"/>
              <w:bottom w:val="none" w:color="FFFFFF" w:sz="0"/>
              <w:right w:val="none" w:color="FFFFFF" w:sz="0"/>
            </w:tcBorders>
          </w:tcPr>
          <w:p>
            <w:r>
              <w:t xml:space="preserve"/>
            </w:r>
          </w:p>
        </w:tc>
        <w:tc>
          <w:tcPr>
            <w:tcW w:type="dxa" w:w="2328"/>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35+</w:t>
            </w:r>
          </w:p>
          <w:p>
            <w:pPr>
              <w:spacing w:after="0" w:before="0"/>
              <w:jc w:val="center"/>
            </w:pPr>
            <w:r>
              <w:rPr>
                <w:rFonts w:ascii="Garamond" w:cs="Garamond" w:eastAsia="Garamond" w:hAnsi="Garamond"/>
                <w:color w:val="FFFFFF"/>
                <w:sz w:val="16"/>
                <w:szCs w:val="16"/>
              </w:rPr>
              <w:t xml:space="preserve">States &amp; Jurisdictions</w:t>
            </w:r>
          </w:p>
        </w:tc>
        <w:tc>
          <w:tcPr>
            <w:tcW w:type="dxa" w:w="100"/>
            <w:tcBorders>
              <w:top w:val="none" w:color="FFFFFF" w:sz="0"/>
              <w:left w:val="none" w:color="FFFFFF" w:sz="0"/>
              <w:bottom w:val="none" w:color="FFFFFF" w:sz="0"/>
              <w:right w:val="none" w:color="FFFFFF" w:sz="0"/>
            </w:tcBorders>
          </w:tcPr>
          <w:p>
            <w:r>
              <w:t xml:space="preserve"/>
            </w:r>
          </w:p>
        </w:tc>
        <w:tc>
          <w:tcPr>
            <w:tcW w:type="dxa" w:w="2328"/>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100+</w:t>
            </w:r>
          </w:p>
          <w:p>
            <w:pPr>
              <w:spacing w:after="0" w:before="0"/>
              <w:jc w:val="center"/>
            </w:pPr>
            <w:r>
              <w:rPr>
                <w:rFonts w:ascii="Garamond" w:cs="Garamond" w:eastAsia="Garamond" w:hAnsi="Garamond"/>
                <w:color w:val="FFFFFF"/>
                <w:sz w:val="16"/>
                <w:szCs w:val="16"/>
              </w:rPr>
              <w:t xml:space="preserve">Training Sessions Delivered</w:t>
            </w:r>
          </w:p>
        </w:tc>
        <w:tc>
          <w:tcPr>
            <w:tcW w:type="dxa" w:w="100"/>
            <w:tcBorders>
              <w:top w:val="none" w:color="FFFFFF" w:sz="0"/>
              <w:left w:val="none" w:color="FFFFFF" w:sz="0"/>
              <w:bottom w:val="none" w:color="FFFFFF" w:sz="0"/>
              <w:right w:val="none" w:color="FFFFFF" w:sz="0"/>
            </w:tcBorders>
          </w:tcPr>
          <w:p>
            <w:r>
              <w:t xml:space="preserve"/>
            </w:r>
          </w:p>
        </w:tc>
        <w:tc>
          <w:tcPr>
            <w:tcW w:type="dxa" w:w="2328"/>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$5M+</w:t>
            </w:r>
          </w:p>
          <w:p>
            <w:pPr>
              <w:spacing w:after="0" w:before="0"/>
              <w:jc w:val="center"/>
            </w:pPr>
            <w:r>
              <w:rPr>
                <w:rFonts w:ascii="Garamond" w:cs="Garamond" w:eastAsia="Garamond" w:hAnsi="Garamond"/>
                <w:color w:val="FFFFFF"/>
                <w:sz w:val="16"/>
                <w:szCs w:val="16"/>
              </w:rPr>
              <w:t xml:space="preserve">Grant Portfolios Managed</w:t>
            </w:r>
          </w:p>
        </w:tc>
        <w:tc>
          <w:tcPr>
            <w:tcW w:type="dxa" w:w="100"/>
            <w:tcBorders>
              <w:top w:val="none" w:color="FFFFFF" w:sz="0"/>
              <w:left w:val="none" w:color="FFFFFF" w:sz="0"/>
              <w:bottom w:val="none" w:color="FFFFFF" w:sz="0"/>
              <w:right w:val="none" w:color="FFFFFF" w:sz="0"/>
            </w:tcBorders>
          </w:tcPr>
          <w:p>
            <w:r>
              <w:t xml:space="preserve"/>
            </w:r>
          </w:p>
        </w:tc>
        <w:tc>
          <w:tcPr>
            <w:tcW w:type="dxa" w:w="2200"/>
            <w:tcBorders>
              <w:top w:val="none" w:color="FFFFFF" w:sz="0"/>
              <w:left w:val="none" w:color="FFFFFF" w:sz="0"/>
              <w:bottom w:val="none" w:color="FFFFFF" w:sz="0"/>
              <w:right w:val="none" w:color="FFFFFF" w:sz="0"/>
            </w:tcBorders>
            <w:shd w:fill="0B1F4D" w:val="clear"/>
            <w:tcMar>
              <w:top w:type="dxa" w:w="140"/>
              <w:left w:type="dxa" w:w="100"/>
              <w:bottom w:type="dxa" w:w="140"/>
              <w:right w:type="dxa" w:w="100"/>
            </w:tcMar>
            <w:vAlign w:val="center"/>
          </w:tcPr>
          <w:p>
            <w:pPr>
              <w:spacing w:after="20" w:before="0"/>
              <w:jc w:val="center"/>
            </w:pPr>
            <w:r>
              <w:rPr>
                <w:rFonts w:ascii="Garamond" w:cs="Garamond" w:eastAsia="Garamond" w:hAnsi="Garamond"/>
                <w:b/>
                <w:bCs/>
                <w:color w:val="F0C040"/>
                <w:sz w:val="56"/>
                <w:szCs w:val="56"/>
              </w:rPr>
              <w:t xml:space="preserve">20+</w:t>
            </w:r>
          </w:p>
          <w:p>
            <w:pPr>
              <w:spacing w:after="0" w:before="0"/>
              <w:jc w:val="center"/>
            </w:pPr>
            <w:r>
              <w:rPr>
                <w:rFonts w:ascii="Garamond" w:cs="Garamond" w:eastAsia="Garamond" w:hAnsi="Garamond"/>
                <w:color w:val="FFFFFF"/>
                <w:sz w:val="16"/>
                <w:szCs w:val="16"/>
              </w:rPr>
              <w:t xml:space="preserve">Years Advocating for Youth</w:t>
            </w:r>
          </w:p>
        </w:tc>
      </w:tr>
    </w:tbl>
    <w:p>
      <w:pPr>
        <w:sectPr>
          <w:pgSz w:w="12240" w:h="15840" w:orient="portrait"/>
          <w:pgMar w:top="0" w:right="0" w:bottom="720" w:left="0" w:header="708" w:footer="708" w:gutter="0"/>
          <w:pgNumType/>
          <w:docGrid w:linePitch="360"/>
        </w:sectPr>
      </w:pPr>
    </w:p>
    <w:p>
      <w:pP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120"/>
              <w:left w:type="dxa" w:w="720"/>
              <w:bottom w:type="dxa" w:w="120"/>
              <w:right w:type="dxa" w:w="720"/>
            </w:tcMar>
          </w:tcPr>
          <w:p>
            <w:pPr>
              <w:pBdr>
                <w:bottom w:val="single" w:color="990000" w:sz="8"/>
              </w:pBdr>
            </w:pPr>
            <w:r>
              <w:rPr>
                <w:rFonts w:ascii="Garamond" w:cs="Garamond" w:eastAsia="Garamond" w:hAnsi="Garamond"/>
                <w:b/>
                <w:bCs/>
                <w:color w:val="FFFFFF"/>
                <w:spacing w:val="60"/>
                <w:sz w:val="24"/>
                <w:szCs w:val="24"/>
              </w:rPr>
              <w:t xml:space="preserve">MAJOR INITIATIVES &amp; ACCOMPLISHMENTS</w:t>
            </w:r>
          </w:p>
        </w:tc>
      </w:tr>
    </w:tbl>
    <w:p>
      <w:pPr>
        <w:spacing w:after="0" w:before="8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5900"/>
        <w:gridCol w:w="200"/>
        <w:gridCol w:w="6140"/>
      </w:tblGrid>
      <w:tr>
        <w:tc>
          <w:tcPr>
            <w:tcW w:type="dxa" w:w="5900"/>
            <w:tcBorders>
              <w:top w:val="none" w:color="FFFFFF" w:sz="0"/>
              <w:left w:val="none" w:color="FFFFFF" w:sz="0"/>
              <w:bottom w:val="none" w:color="FFFFFF" w:sz="0"/>
              <w:right w:val="none" w:color="FFFFFF" w:sz="0"/>
            </w:tcBorders>
            <w:tcMar>
              <w:top w:type="dxa" w:w="0"/>
              <w:left w:type="dxa" w:w="720"/>
              <w:bottom w:type="dxa" w:w="0"/>
              <w:right w:type="dxa" w:w="200"/>
            </w:tcMar>
          </w:tcPr>
          <w:p>
            <w:pPr>
              <w:spacing w:after="60" w:before="60"/>
            </w:pPr>
            <w:r>
              <w:rPr>
                <w:rFonts w:ascii="Garamond" w:cs="Garamond" w:eastAsia="Garamond" w:hAnsi="Garamond"/>
                <w:b/>
                <w:bCs/>
                <w:color w:val="0B1F4D"/>
                <w:sz w:val="21"/>
                <w:szCs w:val="21"/>
              </w:rPr>
              <w:t xml:space="preserve">Ohio Statewide JDAI Leadership</w:t>
            </w:r>
          </w:p>
          <w:p>
            <w:pPr>
              <w:pStyle w:val="ListParagraph"/>
              <w:numPr>
                <w:ilvl w:val="0"/>
                <w:numId w:val="2"/>
              </w:numPr>
              <w:spacing w:after="40" w:before="40"/>
            </w:pPr>
            <w:r>
              <w:rPr>
                <w:rFonts w:ascii="Garamond" w:cs="Garamond" w:eastAsia="Garamond" w:hAnsi="Garamond"/>
                <w:color w:val="333333"/>
                <w:sz w:val="20"/>
                <w:szCs w:val="20"/>
              </w:rPr>
              <w:t xml:space="preserve">Served as State JDAI Administrator at the Ohio Dept. of Youth Services</w:t>
            </w:r>
          </w:p>
          <w:p>
            <w:pPr>
              <w:pStyle w:val="ListParagraph"/>
              <w:numPr>
                <w:ilvl w:val="0"/>
                <w:numId w:val="2"/>
              </w:numPr>
              <w:spacing w:after="40" w:before="40"/>
            </w:pPr>
            <w:r>
              <w:rPr>
                <w:rFonts w:ascii="Garamond" w:cs="Garamond" w:eastAsia="Garamond" w:hAnsi="Garamond"/>
                <w:color w:val="333333"/>
                <w:sz w:val="20"/>
                <w:szCs w:val="20"/>
              </w:rPr>
              <w:t xml:space="preserve">Coordinated data collection, analysis, and reporting across all Ohio JDAI sites</w:t>
            </w:r>
          </w:p>
          <w:p>
            <w:pPr>
              <w:pStyle w:val="ListParagraph"/>
              <w:numPr>
                <w:ilvl w:val="0"/>
                <w:numId w:val="2"/>
              </w:numPr>
              <w:spacing w:after="40" w:before="40"/>
            </w:pPr>
            <w:r>
              <w:rPr>
                <w:rFonts w:ascii="Garamond" w:cs="Garamond" w:eastAsia="Garamond" w:hAnsi="Garamond"/>
                <w:color w:val="333333"/>
                <w:sz w:val="20"/>
                <w:szCs w:val="20"/>
              </w:rPr>
              <w:t xml:space="preserve">Facilitated cross-site learning, technical assistance, and capacity building</w:t>
            </w:r>
          </w:p>
          <w:p>
            <w:pPr>
              <w:pStyle w:val="ListParagraph"/>
              <w:numPr>
                <w:ilvl w:val="0"/>
                <w:numId w:val="2"/>
              </w:numPr>
              <w:spacing w:after="40" w:before="40"/>
            </w:pPr>
            <w:r>
              <w:rPr>
                <w:rFonts w:ascii="Garamond" w:cs="Garamond" w:eastAsia="Garamond" w:hAnsi="Garamond"/>
                <w:color w:val="333333"/>
                <w:sz w:val="20"/>
                <w:szCs w:val="20"/>
              </w:rPr>
              <w:t xml:space="preserve">Reduced racial and ethnic disparities in detention decisions statewide</w:t>
            </w:r>
          </w:p>
          <w:p>
            <w:pPr>
              <w:spacing w:after="60" w:before="180"/>
            </w:pPr>
            <w:r>
              <w:rPr>
                <w:rFonts w:ascii="Garamond" w:cs="Garamond" w:eastAsia="Garamond" w:hAnsi="Garamond"/>
                <w:b/>
                <w:bCs/>
                <w:color w:val="0B1F4D"/>
                <w:sz w:val="21"/>
                <w:szCs w:val="21"/>
              </w:rPr>
              <w:t xml:space="preserve">JJDPA Resource Spotlight Series</w:t>
            </w:r>
          </w:p>
          <w:p>
            <w:pPr>
              <w:pStyle w:val="ListParagraph"/>
              <w:numPr>
                <w:ilvl w:val="0"/>
                <w:numId w:val="2"/>
              </w:numPr>
              <w:spacing w:after="40" w:before="40"/>
            </w:pPr>
            <w:r>
              <w:rPr>
                <w:rFonts w:ascii="Garamond" w:cs="Garamond" w:eastAsia="Garamond" w:hAnsi="Garamond"/>
                <w:color w:val="333333"/>
                <w:sz w:val="20"/>
                <w:szCs w:val="20"/>
              </w:rPr>
              <w:t xml:space="preserve">Designed 3-part interview series on R/ED Coordinators and their roles</w:t>
            </w:r>
          </w:p>
          <w:p>
            <w:pPr>
              <w:pStyle w:val="ListParagraph"/>
              <w:numPr>
                <w:ilvl w:val="0"/>
                <w:numId w:val="2"/>
              </w:numPr>
              <w:spacing w:after="40" w:before="40"/>
            </w:pPr>
            <w:r>
              <w:rPr>
                <w:rFonts w:ascii="Garamond" w:cs="Garamond" w:eastAsia="Garamond" w:hAnsi="Garamond"/>
                <w:color w:val="333333"/>
                <w:sz w:val="20"/>
                <w:szCs w:val="20"/>
              </w:rPr>
              <w:t xml:space="preserve">Developed monthly compliance themes tied to national observances</w:t>
            </w:r>
          </w:p>
          <w:p>
            <w:pPr>
              <w:pStyle w:val="ListParagraph"/>
              <w:numPr>
                <w:ilvl w:val="0"/>
                <w:numId w:val="2"/>
              </w:numPr>
              <w:spacing w:after="40" w:before="40"/>
            </w:pPr>
            <w:r>
              <w:rPr>
                <w:rFonts w:ascii="Garamond" w:cs="Garamond" w:eastAsia="Garamond" w:hAnsi="Garamond"/>
                <w:color w:val="333333"/>
                <w:sz w:val="20"/>
                <w:szCs w:val="20"/>
              </w:rPr>
              <w:t xml:space="preserve">Created R/ED Strategy Series showcasing evidence-based practices in action</w:t>
            </w:r>
          </w:p>
          <w:p>
            <w:pPr>
              <w:pStyle w:val="ListParagraph"/>
              <w:numPr>
                <w:ilvl w:val="0"/>
                <w:numId w:val="2"/>
              </w:numPr>
              <w:spacing w:after="40" w:before="40"/>
            </w:pPr>
            <w:r>
              <w:rPr>
                <w:rFonts w:ascii="Garamond" w:cs="Garamond" w:eastAsia="Garamond" w:hAnsi="Garamond"/>
                <w:color w:val="333333"/>
                <w:sz w:val="20"/>
                <w:szCs w:val="20"/>
              </w:rPr>
              <w:t xml:space="preserve">Supported federal compliance and formula grant monitoring</w:t>
            </w:r>
          </w:p>
        </w:tc>
        <w:tc>
          <w:tcPr>
            <w:tcW w:type="dxa" w:w="200"/>
            <w:tcBorders>
              <w:top w:val="none" w:color="FFFFFF" w:sz="0"/>
              <w:left w:val="single" w:color="DDDDDD" w:sz="4"/>
              <w:bottom w:val="none" w:color="FFFFFF" w:sz="0"/>
              <w:right w:val="none" w:color="FFFFFF" w:sz="0"/>
            </w:tcBorders>
          </w:tcPr>
          <w:p>
            <w:r>
              <w:t xml:space="preserve"/>
            </w:r>
          </w:p>
        </w:tc>
        <w:tc>
          <w:tcPr>
            <w:tcW w:type="dxa" w:w="6140"/>
            <w:tcBorders>
              <w:top w:val="none" w:color="FFFFFF" w:sz="0"/>
              <w:left w:val="none" w:color="FFFFFF" w:sz="0"/>
              <w:bottom w:val="none" w:color="FFFFFF" w:sz="0"/>
              <w:right w:val="none" w:color="FFFFFF" w:sz="0"/>
            </w:tcBorders>
            <w:tcMar>
              <w:top w:type="dxa" w:w="0"/>
              <w:left w:type="dxa" w:w="200"/>
              <w:bottom w:type="dxa" w:w="0"/>
              <w:right w:type="dxa" w:w="720"/>
            </w:tcMar>
          </w:tcPr>
          <w:p>
            <w:pPr>
              <w:spacing w:after="60" w:before="60"/>
            </w:pPr>
            <w:r>
              <w:rPr>
                <w:rFonts w:ascii="Garamond" w:cs="Garamond" w:eastAsia="Garamond" w:hAnsi="Garamond"/>
                <w:b/>
                <w:bCs/>
                <w:color w:val="0B1F4D"/>
                <w:sz w:val="21"/>
                <w:szCs w:val="21"/>
              </w:rPr>
              <w:t xml:space="preserve">Ohio Juvenile Justice Working Group</w:t>
            </w:r>
          </w:p>
          <w:p>
            <w:pPr>
              <w:pStyle w:val="ListParagraph"/>
              <w:numPr>
                <w:ilvl w:val="0"/>
                <w:numId w:val="2"/>
              </w:numPr>
              <w:spacing w:after="40" w:before="40"/>
            </w:pPr>
            <w:r>
              <w:rPr>
                <w:rFonts w:ascii="Garamond" w:cs="Garamond" w:eastAsia="Garamond" w:hAnsi="Garamond"/>
                <w:color w:val="333333"/>
                <w:sz w:val="20"/>
                <w:szCs w:val="20"/>
              </w:rPr>
              <w:t xml:space="preserve">Developed comprehensive policy brief and legislative advocacy toolkit</w:t>
            </w:r>
          </w:p>
          <w:p>
            <w:pPr>
              <w:pStyle w:val="ListParagraph"/>
              <w:numPr>
                <w:ilvl w:val="0"/>
                <w:numId w:val="2"/>
              </w:numPr>
              <w:spacing w:after="40" w:before="40"/>
            </w:pPr>
            <w:r>
              <w:rPr>
                <w:rFonts w:ascii="Garamond" w:cs="Garamond" w:eastAsia="Garamond" w:hAnsi="Garamond"/>
                <w:color w:val="333333"/>
                <w:sz w:val="20"/>
                <w:szCs w:val="20"/>
              </w:rPr>
              <w:t xml:space="preserve">Translated Working Group recommendations into actionable reform proposals</w:t>
            </w:r>
          </w:p>
          <w:p>
            <w:pPr>
              <w:pStyle w:val="ListParagraph"/>
              <w:numPr>
                <w:ilvl w:val="0"/>
                <w:numId w:val="2"/>
              </w:numPr>
              <w:spacing w:after="40" w:before="40"/>
            </w:pPr>
            <w:r>
              <w:rPr>
                <w:rFonts w:ascii="Garamond" w:cs="Garamond" w:eastAsia="Garamond" w:hAnsi="Garamond"/>
                <w:color w:val="333333"/>
                <w:sz w:val="20"/>
                <w:szCs w:val="20"/>
              </w:rPr>
              <w:t xml:space="preserve">Provided technical assistance for probation transformation initiatives</w:t>
            </w:r>
          </w:p>
          <w:p>
            <w:pPr>
              <w:pStyle w:val="ListParagraph"/>
              <w:numPr>
                <w:ilvl w:val="0"/>
                <w:numId w:val="2"/>
              </w:numPr>
              <w:spacing w:after="40" w:before="40"/>
            </w:pPr>
            <w:r>
              <w:rPr>
                <w:rFonts w:ascii="Garamond" w:cs="Garamond" w:eastAsia="Garamond" w:hAnsi="Garamond"/>
                <w:color w:val="333333"/>
                <w:sz w:val="20"/>
                <w:szCs w:val="20"/>
              </w:rPr>
              <w:t xml:space="preserve">Supported stakeholders in coalition building and legislative advocacy</w:t>
            </w:r>
          </w:p>
          <w:p>
            <w:pPr>
              <w:spacing w:after="60" w:before="180"/>
            </w:pPr>
            <w:r>
              <w:rPr>
                <w:rFonts w:ascii="Garamond" w:cs="Garamond" w:eastAsia="Garamond" w:hAnsi="Garamond"/>
                <w:b/>
                <w:bCs/>
                <w:color w:val="0B1F4D"/>
                <w:sz w:val="21"/>
                <w:szCs w:val="21"/>
              </w:rPr>
              <w:t xml:space="preserve">Policy, Research &amp; Academic Leadership</w:t>
            </w:r>
          </w:p>
          <w:p>
            <w:pPr>
              <w:pStyle w:val="ListParagraph"/>
              <w:numPr>
                <w:ilvl w:val="0"/>
                <w:numId w:val="2"/>
              </w:numPr>
              <w:spacing w:after="40" w:before="40"/>
            </w:pPr>
            <w:r>
              <w:rPr>
                <w:rFonts w:ascii="Garamond" w:cs="Garamond" w:eastAsia="Garamond" w:hAnsi="Garamond"/>
                <w:color w:val="333333"/>
                <w:sz w:val="20"/>
                <w:szCs w:val="20"/>
              </w:rPr>
              <w:t xml:space="preserve">Chief Policy and Programs Officer, Center for Children's Law and Policy</w:t>
            </w:r>
          </w:p>
          <w:p>
            <w:pPr>
              <w:pStyle w:val="ListParagraph"/>
              <w:numPr>
                <w:ilvl w:val="0"/>
                <w:numId w:val="2"/>
              </w:numPr>
              <w:spacing w:after="40" w:before="40"/>
            </w:pPr>
            <w:r>
              <w:rPr>
                <w:rFonts w:ascii="Garamond" w:cs="Garamond" w:eastAsia="Garamond" w:hAnsi="Garamond"/>
                <w:color w:val="333333"/>
                <w:sz w:val="20"/>
                <w:szCs w:val="20"/>
              </w:rPr>
              <w:t xml:space="preserve">Research Associate, The Ohio State University</w:t>
            </w:r>
          </w:p>
          <w:p>
            <w:pPr>
              <w:pStyle w:val="ListParagraph"/>
              <w:numPr>
                <w:ilvl w:val="0"/>
                <w:numId w:val="2"/>
              </w:numPr>
              <w:spacing w:after="40" w:before="40"/>
            </w:pPr>
            <w:r>
              <w:rPr>
                <w:rFonts w:ascii="Garamond" w:cs="Garamond" w:eastAsia="Garamond" w:hAnsi="Garamond"/>
                <w:color w:val="333333"/>
                <w:sz w:val="20"/>
                <w:szCs w:val="20"/>
              </w:rPr>
              <w:t xml:space="preserve">Adjunct Professor, Ohio Dominican University</w:t>
            </w:r>
          </w:p>
          <w:p>
            <w:pPr>
              <w:pStyle w:val="ListParagraph"/>
              <w:numPr>
                <w:ilvl w:val="0"/>
                <w:numId w:val="2"/>
              </w:numPr>
              <w:spacing w:after="40" w:before="40"/>
            </w:pPr>
            <w:r>
              <w:rPr>
                <w:rFonts w:ascii="Garamond" w:cs="Garamond" w:eastAsia="Garamond" w:hAnsi="Garamond"/>
                <w:color w:val="333333"/>
                <w:sz w:val="20"/>
                <w:szCs w:val="20"/>
              </w:rPr>
              <w:t xml:space="preserve">Author of policy briefs, toolkits, and legislative analysis documents</w:t>
            </w:r>
          </w:p>
        </w:tc>
      </w:tr>
    </w:tbl>
    <w:p>
      <w:pPr>
        <w:spacing w:after="0" w:before="16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120"/>
              <w:left w:type="dxa" w:w="720"/>
              <w:bottom w:type="dxa" w:w="120"/>
              <w:right w:type="dxa" w:w="720"/>
            </w:tcMar>
          </w:tcPr>
          <w:p>
            <w:pPr>
              <w:pBdr>
                <w:bottom w:val="single" w:color="990000" w:sz="8"/>
              </w:pBdr>
            </w:pPr>
            <w:r>
              <w:rPr>
                <w:rFonts w:ascii="Garamond" w:cs="Garamond" w:eastAsia="Garamond" w:hAnsi="Garamond"/>
                <w:b/>
                <w:bCs/>
                <w:color w:val="FFFFFF"/>
                <w:spacing w:val="60"/>
                <w:sz w:val="24"/>
                <w:szCs w:val="24"/>
              </w:rPr>
              <w:t xml:space="preserve">TRUSTED COLLABORATIONS</w:t>
            </w:r>
          </w:p>
        </w:tc>
      </w:tr>
    </w:tbl>
    <w:p>
      <w:pPr>
        <w:spacing w:after="0" w:before="8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3920"/>
        <w:gridCol w:w="200"/>
        <w:gridCol w:w="3920"/>
        <w:gridCol w:w="200"/>
        <w:gridCol w:w="4000"/>
      </w:tblGrid>
      <w:tr>
        <w:tc>
          <w:tcPr>
            <w:tcW w:type="dxa" w:w="3920"/>
            <w:tcBorders>
              <w:top w:val="none" w:color="FFFFFF" w:sz="0"/>
              <w:left w:val="none" w:color="FFFFFF" w:sz="0"/>
              <w:bottom w:val="none" w:color="FFFFFF" w:sz="0"/>
              <w:right w:val="none" w:color="FFFFFF" w:sz="0"/>
            </w:tcBorders>
            <w:shd w:fill="EEF1F8" w:val="clear"/>
            <w:tcMar>
              <w:top w:type="dxa" w:w="120"/>
              <w:left w:type="dxa" w:w="720"/>
              <w:bottom w:type="dxa" w:w="140"/>
              <w:right w:type="dxa" w:w="160"/>
            </w:tcMar>
          </w:tcPr>
          <w:p>
            <w:pPr>
              <w:spacing w:after="80" w:before="0"/>
            </w:pPr>
            <w:r>
              <w:rPr>
                <w:rFonts w:ascii="Garamond" w:cs="Garamond" w:eastAsia="Garamond" w:hAnsi="Garamond"/>
                <w:b/>
                <w:bCs/>
                <w:color w:val="0B1F4D"/>
                <w:sz w:val="20"/>
                <w:szCs w:val="20"/>
              </w:rPr>
              <w:t xml:space="preserve">Government Agencies</w:t>
            </w:r>
          </w:p>
          <w:p>
            <w:pPr>
              <w:spacing w:after="30" w:before="30"/>
            </w:pPr>
            <w:r>
              <w:rPr>
                <w:rFonts w:ascii="Garamond" w:cs="Garamond" w:eastAsia="Garamond" w:hAnsi="Garamond"/>
                <w:color w:val="333333"/>
                <w:sz w:val="18"/>
                <w:szCs w:val="18"/>
              </w:rPr>
              <w:t xml:space="preserve">▪  State Departments of Youth Services</w:t>
            </w:r>
          </w:p>
          <w:p>
            <w:pPr>
              <w:spacing w:after="30" w:before="30"/>
            </w:pPr>
            <w:r>
              <w:rPr>
                <w:rFonts w:ascii="Garamond" w:cs="Garamond" w:eastAsia="Garamond" w:hAnsi="Garamond"/>
                <w:color w:val="333333"/>
                <w:sz w:val="18"/>
                <w:szCs w:val="18"/>
              </w:rPr>
              <w:t xml:space="preserve">▪  State Juvenile Justice Agencies</w:t>
            </w:r>
          </w:p>
          <w:p>
            <w:pPr>
              <w:spacing w:after="30" w:before="30"/>
            </w:pPr>
            <w:r>
              <w:rPr>
                <w:rFonts w:ascii="Garamond" w:cs="Garamond" w:eastAsia="Garamond" w:hAnsi="Garamond"/>
                <w:color w:val="333333"/>
                <w:sz w:val="18"/>
                <w:szCs w:val="18"/>
              </w:rPr>
              <w:t xml:space="preserve">▪  County Probation Departments</w:t>
            </w:r>
          </w:p>
          <w:p>
            <w:pPr>
              <w:spacing w:after="30" w:before="30"/>
            </w:pPr>
            <w:r>
              <w:rPr>
                <w:rFonts w:ascii="Garamond" w:cs="Garamond" w:eastAsia="Garamond" w:hAnsi="Garamond"/>
                <w:color w:val="333333"/>
                <w:sz w:val="18"/>
                <w:szCs w:val="18"/>
              </w:rPr>
              <w:t xml:space="preserve">▪  Office of Juvenile Justice &amp; Delinquency Prevention (OJJDP)</w:t>
            </w:r>
          </w:p>
          <w:p>
            <w:pPr>
              <w:spacing w:after="30" w:before="30"/>
            </w:pPr>
            <w:r>
              <w:rPr>
                <w:rFonts w:ascii="Garamond" w:cs="Garamond" w:eastAsia="Garamond" w:hAnsi="Garamond"/>
                <w:color w:val="333333"/>
                <w:sz w:val="18"/>
                <w:szCs w:val="18"/>
              </w:rPr>
              <w:t xml:space="preserve">▪  State Advisory Groups (SAGs)</w:t>
            </w:r>
          </w:p>
        </w:tc>
        <w:tc>
          <w:tcPr>
            <w:tcW w:type="dxa" w:w="200"/>
            <w:tcBorders>
              <w:top w:val="none" w:color="FFFFFF" w:sz="0"/>
              <w:left w:val="none" w:color="FFFFFF" w:sz="0"/>
              <w:bottom w:val="none" w:color="FFFFFF" w:sz="0"/>
              <w:right w:val="none" w:color="FFFFFF" w:sz="0"/>
            </w:tcBorders>
          </w:tcPr>
          <w:p>
            <w:r>
              <w:t xml:space="preserve"/>
            </w:r>
          </w:p>
        </w:tc>
        <w:tc>
          <w:tcPr>
            <w:tcW w:type="dxa" w:w="3920"/>
            <w:tcBorders>
              <w:top w:val="none" w:color="FFFFFF" w:sz="0"/>
              <w:left w:val="none" w:color="FFFFFF" w:sz="0"/>
              <w:bottom w:val="none" w:color="FFFFFF" w:sz="0"/>
              <w:right w:val="none" w:color="FFFFFF" w:sz="0"/>
            </w:tcBorders>
            <w:shd w:fill="F9EEEE" w:val="clear"/>
            <w:tcMar>
              <w:top w:type="dxa" w:w="120"/>
              <w:left w:type="dxa" w:w="160"/>
              <w:bottom w:type="dxa" w:w="140"/>
              <w:right w:type="dxa" w:w="160"/>
            </w:tcMar>
          </w:tcPr>
          <w:p>
            <w:pPr>
              <w:spacing w:after="80" w:before="0"/>
            </w:pPr>
            <w:r>
              <w:rPr>
                <w:rFonts w:ascii="Garamond" w:cs="Garamond" w:eastAsia="Garamond" w:hAnsi="Garamond"/>
                <w:b/>
                <w:bCs/>
                <w:color w:val="990000"/>
                <w:sz w:val="20"/>
                <w:szCs w:val="20"/>
              </w:rPr>
              <w:t xml:space="preserve">Nonprofit Organizations</w:t>
            </w:r>
          </w:p>
          <w:p>
            <w:pPr>
              <w:spacing w:after="30" w:before="30"/>
            </w:pPr>
            <w:r>
              <w:rPr>
                <w:rFonts w:ascii="Garamond" w:cs="Garamond" w:eastAsia="Garamond" w:hAnsi="Garamond"/>
                <w:color w:val="333333"/>
                <w:sz w:val="18"/>
                <w:szCs w:val="18"/>
              </w:rPr>
              <w:t xml:space="preserve">▪  Center for Children's Law and Policy</w:t>
            </w:r>
          </w:p>
          <w:p>
            <w:pPr>
              <w:spacing w:after="30" w:before="30"/>
            </w:pPr>
            <w:r>
              <w:rPr>
                <w:rFonts w:ascii="Garamond" w:cs="Garamond" w:eastAsia="Garamond" w:hAnsi="Garamond"/>
                <w:color w:val="333333"/>
                <w:sz w:val="18"/>
                <w:szCs w:val="18"/>
              </w:rPr>
              <w:t xml:space="preserve">▪  Annie E. Casey Foundation</w:t>
            </w:r>
          </w:p>
          <w:p>
            <w:pPr>
              <w:spacing w:after="30" w:before="30"/>
            </w:pPr>
            <w:r>
              <w:rPr>
                <w:rFonts w:ascii="Garamond" w:cs="Garamond" w:eastAsia="Garamond" w:hAnsi="Garamond"/>
                <w:color w:val="333333"/>
                <w:sz w:val="18"/>
                <w:szCs w:val="18"/>
              </w:rPr>
              <w:t xml:space="preserve">▪  Africentric Personal Development Shop</w:t>
            </w:r>
          </w:p>
          <w:p>
            <w:pPr>
              <w:spacing w:after="30" w:before="30"/>
            </w:pPr>
            <w:r>
              <w:rPr>
                <w:rFonts w:ascii="Garamond" w:cs="Garamond" w:eastAsia="Garamond" w:hAnsi="Garamond"/>
                <w:color w:val="333333"/>
                <w:sz w:val="18"/>
                <w:szCs w:val="18"/>
              </w:rPr>
              <w:t xml:space="preserve">▪  Community-Based Organizations</w:t>
            </w:r>
          </w:p>
          <w:p>
            <w:pPr>
              <w:spacing w:after="30" w:before="30"/>
            </w:pPr>
            <w:r>
              <w:rPr>
                <w:rFonts w:ascii="Garamond" w:cs="Garamond" w:eastAsia="Garamond" w:hAnsi="Garamond"/>
                <w:color w:val="333333"/>
                <w:sz w:val="18"/>
                <w:szCs w:val="18"/>
              </w:rPr>
              <w:t xml:space="preserve">▪  Youth-Serving Nonprofits</w:t>
            </w:r>
          </w:p>
        </w:tc>
        <w:tc>
          <w:tcPr>
            <w:tcW w:type="dxa" w:w="200"/>
            <w:tcBorders>
              <w:top w:val="none" w:color="FFFFFF" w:sz="0"/>
              <w:left w:val="none" w:color="FFFFFF" w:sz="0"/>
              <w:bottom w:val="none" w:color="FFFFFF" w:sz="0"/>
              <w:right w:val="none" w:color="FFFFFF" w:sz="0"/>
            </w:tcBorders>
          </w:tcPr>
          <w:p>
            <w:r>
              <w:t xml:space="preserve"/>
            </w:r>
          </w:p>
        </w:tc>
        <w:tc>
          <w:tcPr>
            <w:tcW w:type="dxa" w:w="4000"/>
            <w:tcBorders>
              <w:top w:val="none" w:color="FFFFFF" w:sz="0"/>
              <w:left w:val="none" w:color="FFFFFF" w:sz="0"/>
              <w:bottom w:val="none" w:color="FFFFFF" w:sz="0"/>
              <w:right w:val="none" w:color="FFFFFF" w:sz="0"/>
            </w:tcBorders>
            <w:shd w:fill="EEF1F8" w:val="clear"/>
            <w:tcMar>
              <w:top w:type="dxa" w:w="120"/>
              <w:left w:type="dxa" w:w="160"/>
              <w:bottom w:type="dxa" w:w="140"/>
              <w:right w:type="dxa" w:w="720"/>
            </w:tcMar>
          </w:tcPr>
          <w:p>
            <w:pPr>
              <w:spacing w:after="80" w:before="0"/>
            </w:pPr>
            <w:r>
              <w:rPr>
                <w:rFonts w:ascii="Garamond" w:cs="Garamond" w:eastAsia="Garamond" w:hAnsi="Garamond"/>
                <w:b/>
                <w:bCs/>
                <w:color w:val="0B1F4D"/>
                <w:sz w:val="20"/>
                <w:szCs w:val="20"/>
              </w:rPr>
              <w:t xml:space="preserve">Academic &amp; Research Institutions</w:t>
            </w:r>
          </w:p>
          <w:p>
            <w:pPr>
              <w:spacing w:after="30" w:before="30"/>
            </w:pPr>
            <w:r>
              <w:rPr>
                <w:rFonts w:ascii="Garamond" w:cs="Garamond" w:eastAsia="Garamond" w:hAnsi="Garamond"/>
                <w:color w:val="333333"/>
                <w:sz w:val="18"/>
                <w:szCs w:val="18"/>
              </w:rPr>
              <w:t xml:space="preserve">▪  The Ohio State University</w:t>
            </w:r>
          </w:p>
          <w:p>
            <w:pPr>
              <w:spacing w:after="30" w:before="30"/>
            </w:pPr>
            <w:r>
              <w:rPr>
                <w:rFonts w:ascii="Garamond" w:cs="Garamond" w:eastAsia="Garamond" w:hAnsi="Garamond"/>
                <w:color w:val="333333"/>
                <w:sz w:val="18"/>
                <w:szCs w:val="18"/>
              </w:rPr>
              <w:t xml:space="preserve">▪  Ohio Dominican University</w:t>
            </w:r>
          </w:p>
          <w:p>
            <w:pPr>
              <w:spacing w:after="30" w:before="30"/>
            </w:pPr>
            <w:r>
              <w:rPr>
                <w:rFonts w:ascii="Garamond" w:cs="Garamond" w:eastAsia="Garamond" w:hAnsi="Garamond"/>
                <w:color w:val="333333"/>
                <w:sz w:val="18"/>
                <w:szCs w:val="18"/>
              </w:rPr>
              <w:t xml:space="preserve">▪  National Research Centers</w:t>
            </w:r>
          </w:p>
          <w:p>
            <w:pPr>
              <w:spacing w:after="30" w:before="30"/>
            </w:pPr>
            <w:r>
              <w:rPr>
                <w:rFonts w:ascii="Garamond" w:cs="Garamond" w:eastAsia="Garamond" w:hAnsi="Garamond"/>
                <w:color w:val="333333"/>
                <w:sz w:val="18"/>
                <w:szCs w:val="18"/>
              </w:rPr>
              <w:t xml:space="preserve">▪  Policy Institutes &amp; Think Tanks</w:t>
            </w:r>
          </w:p>
          <w:p>
            <w:pPr>
              <w:spacing w:after="30" w:before="30"/>
            </w:pPr>
            <w:r>
              <w:rPr>
                <w:rFonts w:ascii="Garamond" w:cs="Garamond" w:eastAsia="Garamond" w:hAnsi="Garamond"/>
                <w:color w:val="333333"/>
                <w:sz w:val="18"/>
                <w:szCs w:val="18"/>
              </w:rPr>
              <w:t xml:space="preserve">▪  Law Schools &amp; Justice Programs</w:t>
            </w:r>
          </w:p>
        </w:tc>
      </w:tr>
    </w:tbl>
    <w:p>
      <w:pPr>
        <w:spacing w:after="0" w:before="16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120"/>
              <w:left w:type="dxa" w:w="720"/>
              <w:bottom w:type="dxa" w:w="120"/>
              <w:right w:type="dxa" w:w="720"/>
            </w:tcMar>
          </w:tcPr>
          <w:p>
            <w:pPr>
              <w:pBdr>
                <w:bottom w:val="single" w:color="990000" w:sz="8"/>
              </w:pBdr>
            </w:pPr>
            <w:r>
              <w:rPr>
                <w:rFonts w:ascii="Garamond" w:cs="Garamond" w:eastAsia="Garamond" w:hAnsi="Garamond"/>
                <w:b/>
                <w:bCs/>
                <w:color w:val="FFFFFF"/>
                <w:spacing w:val="60"/>
                <w:sz w:val="24"/>
                <w:szCs w:val="24"/>
              </w:rPr>
              <w:t xml:space="preserve">PROFESSIONAL CREDENTIALS &amp; CAREER HIGHLIGHTS</w:t>
            </w:r>
          </w:p>
        </w:tc>
      </w:tr>
    </w:tbl>
    <w:p>
      <w:pPr>
        <w:spacing w:after="0" w:before="8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5900"/>
        <w:gridCol w:w="200"/>
        <w:gridCol w:w="6140"/>
      </w:tblGrid>
      <w:tr>
        <w:tc>
          <w:tcPr>
            <w:tcW w:type="dxa" w:w="5900"/>
            <w:tcBorders>
              <w:top w:val="none" w:color="FFFFFF" w:sz="0"/>
              <w:left w:val="none" w:color="FFFFFF" w:sz="0"/>
              <w:bottom w:val="none" w:color="FFFFFF" w:sz="0"/>
              <w:right w:val="none" w:color="FFFFFF" w:sz="0"/>
            </w:tcBorders>
            <w:tcMar>
              <w:top w:type="dxa" w:w="0"/>
              <w:left w:type="dxa" w:w="720"/>
              <w:bottom w:type="dxa" w:w="60"/>
              <w:right w:type="dxa" w:w="200"/>
            </w:tcMar>
          </w:tcPr>
          <w:p>
            <w:pPr>
              <w:spacing w:after="40" w:before="40"/>
            </w:pPr>
            <w:r>
              <w:rPr>
                <w:rFonts w:ascii="Garamond" w:cs="Garamond" w:eastAsia="Garamond" w:hAnsi="Garamond"/>
                <w:color w:val="333333"/>
                <w:sz w:val="20"/>
                <w:szCs w:val="20"/>
              </w:rPr>
              <w:t xml:space="preserve">Principal Consultant, The Mitchell Firm, LLC (2024–Present)</w:t>
            </w:r>
          </w:p>
          <w:p>
            <w:pPr>
              <w:spacing w:after="40" w:before="40"/>
            </w:pPr>
            <w:r>
              <w:rPr>
                <w:rFonts w:ascii="Garamond" w:cs="Garamond" w:eastAsia="Garamond" w:hAnsi="Garamond"/>
                <w:color w:val="333333"/>
                <w:sz w:val="20"/>
                <w:szCs w:val="20"/>
              </w:rPr>
              <w:t xml:space="preserve">Chief Policy &amp; Programs Officer, Center for Children's Law &amp; Policy</w:t>
            </w:r>
          </w:p>
          <w:p>
            <w:pPr>
              <w:spacing w:after="40" w:before="40"/>
            </w:pPr>
            <w:r>
              <w:rPr>
                <w:rFonts w:ascii="Garamond" w:cs="Garamond" w:eastAsia="Garamond" w:hAnsi="Garamond"/>
                <w:color w:val="333333"/>
                <w:sz w:val="20"/>
                <w:szCs w:val="20"/>
              </w:rPr>
              <w:t xml:space="preserve">State JDAI Administrator, Ohio Department of Youth Services</w:t>
            </w:r>
          </w:p>
          <w:p>
            <w:pPr>
              <w:spacing w:after="40" w:before="40"/>
            </w:pPr>
            <w:r>
              <w:rPr>
                <w:rFonts w:ascii="Garamond" w:cs="Garamond" w:eastAsia="Garamond" w:hAnsi="Garamond"/>
                <w:color w:val="333333"/>
                <w:sz w:val="20"/>
                <w:szCs w:val="20"/>
              </w:rPr>
              <w:t xml:space="preserve">Research Associate, The Ohio State University</w:t>
            </w:r>
          </w:p>
          <w:p>
            <w:pPr>
              <w:spacing w:after="40" w:before="40"/>
            </w:pPr>
            <w:r>
              <w:rPr>
                <w:rFonts w:ascii="Garamond" w:cs="Garamond" w:eastAsia="Garamond" w:hAnsi="Garamond"/>
                <w:color w:val="333333"/>
                <w:sz w:val="20"/>
                <w:szCs w:val="20"/>
              </w:rPr>
              <w:t xml:space="preserve">Adjunct Professor, Ohio Dominican University</w:t>
            </w:r>
          </w:p>
        </w:tc>
        <w:tc>
          <w:tcPr>
            <w:tcW w:type="dxa" w:w="200"/>
            <w:tcBorders>
              <w:top w:val="none" w:color="FFFFFF" w:sz="0"/>
              <w:left w:val="single" w:color="DDDDDD" w:sz="4"/>
              <w:bottom w:val="none" w:color="FFFFFF" w:sz="0"/>
              <w:right w:val="none" w:color="FFFFFF" w:sz="0"/>
            </w:tcBorders>
          </w:tcPr>
          <w:p>
            <w:r>
              <w:t xml:space="preserve"/>
            </w:r>
          </w:p>
        </w:tc>
        <w:tc>
          <w:tcPr>
            <w:tcW w:type="dxa" w:w="6140"/>
            <w:tcBorders>
              <w:top w:val="none" w:color="FFFFFF" w:sz="0"/>
              <w:left w:val="none" w:color="FFFFFF" w:sz="0"/>
              <w:bottom w:val="none" w:color="FFFFFF" w:sz="0"/>
              <w:right w:val="none" w:color="FFFFFF" w:sz="0"/>
            </w:tcBorders>
            <w:tcMar>
              <w:top w:type="dxa" w:w="0"/>
              <w:left w:type="dxa" w:w="200"/>
              <w:bottom w:type="dxa" w:w="60"/>
              <w:right w:type="dxa" w:w="720"/>
            </w:tcMar>
          </w:tcPr>
          <w:p>
            <w:pPr>
              <w:spacing w:after="40" w:before="40"/>
            </w:pPr>
            <w:r>
              <w:rPr>
                <w:rFonts w:ascii="Garamond" w:cs="Garamond" w:eastAsia="Garamond" w:hAnsi="Garamond"/>
                <w:color w:val="333333"/>
                <w:sz w:val="20"/>
                <w:szCs w:val="20"/>
              </w:rPr>
              <w:t xml:space="preserve">Program Director, Africentric Personal Development Shop, Inc.</w:t>
            </w:r>
          </w:p>
          <w:p>
            <w:pPr>
              <w:spacing w:after="40" w:before="40"/>
            </w:pPr>
            <w:r>
              <w:rPr>
                <w:rFonts w:ascii="Garamond" w:cs="Garamond" w:eastAsia="Garamond" w:hAnsi="Garamond"/>
                <w:color w:val="333333"/>
                <w:sz w:val="20"/>
                <w:szCs w:val="20"/>
              </w:rPr>
              <w:t xml:space="preserve">Gang Investigator, Ohio Attorney General's Office</w:t>
            </w:r>
          </w:p>
          <w:p>
            <w:pPr>
              <w:spacing w:after="40" w:before="40"/>
            </w:pPr>
            <w:r>
              <w:rPr>
                <w:rFonts w:ascii="Garamond" w:cs="Garamond" w:eastAsia="Garamond" w:hAnsi="Garamond"/>
                <w:color w:val="333333"/>
                <w:sz w:val="20"/>
                <w:szCs w:val="20"/>
              </w:rPr>
              <w:t xml:space="preserve">Criminal Gang Coordinator, Franklin County Adult Probation</w:t>
            </w:r>
          </w:p>
          <w:p>
            <w:pPr>
              <w:spacing w:after="40" w:before="40"/>
            </w:pPr>
            <w:r>
              <w:rPr>
                <w:rFonts w:ascii="Garamond" w:cs="Garamond" w:eastAsia="Garamond" w:hAnsi="Garamond"/>
                <w:color w:val="333333"/>
                <w:sz w:val="20"/>
                <w:szCs w:val="20"/>
              </w:rPr>
              <w:t xml:space="preserve">Member, Delta Sigma Theta Sorority, Inc.</w:t>
            </w:r>
          </w:p>
          <w:p>
            <w:pPr>
              <w:spacing w:after="40" w:before="40"/>
            </w:pPr>
            <w:r>
              <w:rPr>
                <w:rFonts w:ascii="Garamond" w:cs="Garamond" w:eastAsia="Garamond" w:hAnsi="Garamond"/>
                <w:color w:val="333333"/>
                <w:sz w:val="20"/>
                <w:szCs w:val="20"/>
              </w:rPr>
              <w:t xml:space="preserve">Speaker — National Juvenile Justice Conferences</w:t>
            </w:r>
          </w:p>
        </w:tc>
      </w:tr>
    </w:tbl>
    <w:p>
      <w:pPr>
        <w:spacing w:after="0" w:before="16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200"/>
              <w:left w:type="dxa" w:w="480"/>
              <w:bottom w:type="dxa" w:w="200"/>
              <w:right w:type="dxa" w:w="480"/>
            </w:tcMar>
          </w:tcPr>
          <w:p>
            <w:pPr>
              <w:jc w:val="center"/>
            </w:pPr>
            <w:r>
              <w:rPr>
                <w:rFonts w:ascii="Garamond" w:cs="Garamond" w:eastAsia="Garamond" w:hAnsi="Garamond"/>
                <w:b/>
                <w:bCs/>
                <w:color w:val="F0C040"/>
                <w:sz w:val="22"/>
                <w:szCs w:val="22"/>
              </w:rPr>
              <w:t xml:space="preserve">www.themitchellfirm.org</w:t>
            </w:r>
            <w:r>
              <w:rPr>
                <w:rFonts w:ascii="Garamond" w:cs="Garamond" w:eastAsia="Garamond" w:hAnsi="Garamond"/>
                <w:color w:val="FFFFFF"/>
                <w:sz w:val="22"/>
                <w:szCs w:val="22"/>
              </w:rPr>
              <w:t xml:space="preserve">   •   reginamitchell@tmfconsulting.org   •   (202) 670-4052</w:t>
            </w:r>
          </w:p>
        </w:tc>
      </w:tr>
    </w:tbl>
    <w:sectPr>
      <w:headerReference w:type="default" r:id="rId7"/>
      <w:pgSz w:w="12240" w:h="15840" w:orient="portrait"/>
      <w:pgMar w:top="0" w:right="0" w:bottom="720" w:left="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spacing w:after="0" w:before="0"/>
      <w:jc w:val="center"/>
    </w:pPr>
    <w:r>
      <w:drawing>
        <wp:inline distT="0" distB="0" distL="0" distR="0">
          <wp:extent cx="9715500" cy="3886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9715500" cy="3886200"/>
                  </a:xfrm>
                  <a:prstGeom prst="rect">
                    <a:avLst/>
                  </a:prstGeom>
                </pic:spPr>
              </pic:pic>
            </a:graphicData>
          </a:graphic>
        </wp:inline>
      </w:drawing>
    </w:r>
  </w:p>
  <w:p>
    <w:pPr>
      <w:pBdr>
        <w:bottom w:val="single" w:color="990000" w:sz="6"/>
      </w:pBd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120"/>
            <w:left w:type="dxa" w:w="720"/>
            <w:bottom w:type="dxa" w:w="120"/>
            <w:right w:type="dxa" w:w="720"/>
          </w:tcMar>
        </w:tcPr>
        <w:p>
          <w:pPr>
            <w:jc w:val="center"/>
          </w:pPr>
          <w:r>
            <w:rPr>
              <w:rFonts w:ascii="Garamond" w:cs="Garamond" w:eastAsia="Garamond" w:hAnsi="Garamond"/>
              <w:b/>
              <w:bCs/>
              <w:color w:val="FFFFFF"/>
              <w:spacing w:val="80"/>
              <w:sz w:val="30"/>
              <w:szCs w:val="30"/>
            </w:rPr>
            <w:t xml:space="preserve">EXECUTIVE CAPABILITY STATEMENT  •  PAGE 2</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80" w:hanging="240"/>
      </w:pPr>
      <w:rPr>
        <w:color w:val="990000"/>
      </w:r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cs="Garamond" w:eastAsia="Garamond" w:hAnsi="Garamond"/>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image" Target="media/25387e5e00c49597aad57cc9722a94d5706fd4e6.png"/><Relationship Id="rId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5387e5e00c49597aad57cc9722a94d5706fd4e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2026-06-01T05:33:19.638Z</dcterms:created>
  <dcterms:modified xsi:type="dcterms:W3CDTF">2026-06-01T05:33:19.638Z</dcterms:modified>
</cp:coreProperties>
</file>

<file path=docProps/custom.xml><?xml version="1.0" encoding="utf-8"?>
<Properties xmlns="http://schemas.openxmlformats.org/officeDocument/2006/custom-properties" xmlns:vt="http://schemas.openxmlformats.org/officeDocument/2006/docPropsVTypes"/>
</file>