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9715500" cy="38862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single" w:color="990000" w:sz="6"/>
        </w:pBdr>
        <w:spacing w:after="0" w:before="0"/>
      </w:pPr>
      <w:r>
        <w:t xml:space="preserve"/>
      </w:r>
    </w:p>
    <w:tbl>
      <w:tblPr>
        <w:tblW w:type="dxa" w:w="1224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224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140"/>
              <w:left w:type="dxa" w:w="720"/>
              <w:bottom w:type="dxa" w:w="140"/>
              <w:right w:type="dxa" w:w="720"/>
            </w:tcMar>
          </w:tcPr>
          <w:p>
            <w:pPr>
              <w:jc w:val="center"/>
            </w:pPr>
            <w:r>
              <w:rPr>
                <w:rFonts w:ascii="Garamond" w:cs="Garamond" w:eastAsia="Garamond" w:hAnsi="Garamond"/>
                <w:b/>
                <w:bCs/>
                <w:color w:val="FFFFFF"/>
                <w:spacing w:val="120"/>
                <w:sz w:val="36"/>
                <w:szCs w:val="36"/>
              </w:rPr>
              <w:t xml:space="preserve">EXECUTIVE SERVICE MENU</w:t>
            </w:r>
          </w:p>
        </w:tc>
      </w:tr>
    </w:tbl>
    <w:tbl>
      <w:tblPr>
        <w:tblW w:type="dxa" w:w="1224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224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tcMar>
              <w:top w:type="dxa" w:w="200"/>
              <w:left w:type="dxa" w:w="720"/>
              <w:bottom w:type="dxa" w:w="200"/>
              <w:right w:type="dxa" w:w="720"/>
            </w:tcMar>
          </w:tcPr>
          <w:p>
            <w:pPr>
              <w:jc w:val="center"/>
            </w:pPr>
            <w:r>
              <w:rPr>
                <w:rFonts w:ascii="Garamond" w:cs="Garamond" w:eastAsia="Garamond" w:hAnsi="Garamond"/>
                <w:i/>
                <w:iCs/>
                <w:color w:val="333333"/>
                <w:sz w:val="20"/>
                <w:szCs w:val="20"/>
              </w:rPr>
              <w:t xml:space="preserve">The Mitchell Firm, LLC provides high-impact consulting, training, and technical assistance to government agencies, foundations, and nonprofits working to transform the juvenile and criminal justice landscape. Engagements are tailored to your context, capacity, and goals.</w:t>
            </w:r>
          </w:p>
        </w:tc>
      </w:tr>
    </w:tbl>
    <w:tbl>
      <w:tblPr>
        <w:tblW w:type="dxa" w:w="1224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224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990000" w:val="clear"/>
            <w:tcMar>
              <w:top w:type="dxa" w:w="100"/>
              <w:left w:type="dxa" w:w="720"/>
              <w:bottom w:type="dxa" w:w="100"/>
              <w:right w:type="dxa" w:w="720"/>
            </w:tcMar>
          </w:tcPr>
          <w:p>
            <w:r>
              <w:rPr>
                <w:rFonts w:ascii="Garamond" w:cs="Garamond" w:eastAsia="Garamond" w:hAnsi="Garamond"/>
                <w:b/>
                <w:bCs/>
                <w:color w:val="FFFFFF"/>
                <w:spacing w:val="80"/>
                <w:sz w:val="22"/>
                <w:szCs w:val="22"/>
              </w:rPr>
              <w:t xml:space="preserve">CONSULTING SERVICE CATEGORIES</w:t>
            </w:r>
          </w:p>
        </w:tc>
      </w:tr>
    </w:tbl>
    <w:p>
      <w:pPr>
        <w:spacing w:after="0" w:before="140"/>
      </w:pPr>
      <w:r>
        <w:t xml:space="preserve"/>
      </w:r>
    </w:p>
    <w:tbl>
      <w:tblPr>
        <w:tblW w:type="dxa" w:w="116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740"/>
        <w:gridCol w:w="120"/>
        <w:gridCol w:w="3740"/>
        <w:gridCol w:w="120"/>
        <w:gridCol w:w="3740"/>
      </w:tblGrid>
      <w:tr>
        <w:tc>
          <w:tcPr>
            <w:tcW w:type="dxa" w:w="3740"/>
            <w:tcBorders>
              <w:top w:val="single" w:color="990000" w:sz="12"/>
              <w:left w:val="none" w:color="FFFFFF" w:sz="0"/>
              <w:bottom w:val="none" w:color="FFFFFF" w:sz="0"/>
              <w:right w:val="none" w:color="FFFFFF" w:sz="0"/>
            </w:tcBorders>
            <w:shd w:fill="EEF1F8" w:val="clear"/>
            <w:tcMar>
              <w:top w:type="dxa" w:w="160"/>
              <w:left w:type="dxa" w:w="180"/>
              <w:bottom w:type="dxa" w:w="160"/>
              <w:right w:type="dxa" w:w="180"/>
            </w:tcMar>
          </w:tcPr>
          <w:p>
            <w:pPr>
              <w:spacing w:after="60" w:before="0"/>
            </w:pPr>
            <w:r>
              <w:rPr>
                <w:rFonts w:ascii="Segoe UI Emoji" w:cs="Segoe UI Emoji" w:eastAsia="Segoe UI Emoji" w:hAnsi="Segoe UI Emoji"/>
                <w:sz w:val="32"/>
                <w:szCs w:val="32"/>
              </w:rPr>
              <w:t xml:space="preserve">⚖️</w:t>
            </w:r>
          </w:p>
          <w:p>
            <w:pPr>
              <w:spacing w:after="8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22"/>
                <w:szCs w:val="22"/>
              </w:rPr>
              <w:t xml:space="preserve">Juvenile Justice Reform</w:t>
            </w:r>
          </w:p>
          <w:p>
            <w:pPr>
              <w:spacing w:after="100" w:before="0"/>
              <w:jc w:val="both"/>
            </w:pPr>
            <w:r>
              <w:rPr>
                <w:rFonts w:ascii="Garamond" w:cs="Garamond" w:eastAsia="Garamond" w:hAnsi="Garamond"/>
                <w:color w:val="444444"/>
                <w:sz w:val="18"/>
                <w:szCs w:val="18"/>
              </w:rPr>
              <w:t xml:space="preserve">Evidence-informed consulting to transform how jurisdictions serve youth — from detention reduction to system redesign. Rooted in decades of frontline and statewide leadership.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990000"/>
                <w:spacing w:val="40"/>
                <w:sz w:val="16"/>
                <w:szCs w:val="16"/>
              </w:rPr>
              <w:t xml:space="preserve">DELIVERABLES INCLUDE: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Disparity reduction strategies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JDAI site support &amp; review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Detention alternatives assessment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Youth diversion program design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Stakeholder engagement planning</w:t>
            </w:r>
          </w:p>
        </w:tc>
        <w:tc>
          <w:tcPr>
            <w:tcW w:type="dxa" w:w="12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3740"/>
            <w:tcBorders>
              <w:top w:val="single" w:color="990000" w:sz="12"/>
              <w:left w:val="none" w:color="FFFFFF" w:sz="0"/>
              <w:bottom w:val="none" w:color="FFFFFF" w:sz="0"/>
              <w:right w:val="none" w:color="FFFFFF" w:sz="0"/>
            </w:tcBorders>
            <w:shd w:fill="F9EEEE" w:val="clear"/>
            <w:tcMar>
              <w:top w:type="dxa" w:w="160"/>
              <w:left w:type="dxa" w:w="180"/>
              <w:bottom w:type="dxa" w:w="160"/>
              <w:right w:type="dxa" w:w="180"/>
            </w:tcMar>
          </w:tcPr>
          <w:p>
            <w:pPr>
              <w:spacing w:after="60" w:before="0"/>
            </w:pPr>
            <w:r>
              <w:rPr>
                <w:rFonts w:ascii="Segoe UI Emoji" w:cs="Segoe UI Emoji" w:eastAsia="Segoe UI Emoji" w:hAnsi="Segoe UI Emoji"/>
                <w:sz w:val="32"/>
                <w:szCs w:val="32"/>
              </w:rPr>
              <w:t xml:space="preserve">📋</w:t>
            </w:r>
          </w:p>
          <w:p>
            <w:pPr>
              <w:spacing w:after="8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22"/>
                <w:szCs w:val="22"/>
              </w:rPr>
              <w:t xml:space="preserve">Policy Development &amp; Analysis</w:t>
            </w:r>
          </w:p>
          <w:p>
            <w:pPr>
              <w:spacing w:after="100" w:before="0"/>
              <w:jc w:val="both"/>
            </w:pPr>
            <w:r>
              <w:rPr>
                <w:rFonts w:ascii="Garamond" w:cs="Garamond" w:eastAsia="Garamond" w:hAnsi="Garamond"/>
                <w:color w:val="444444"/>
                <w:sz w:val="18"/>
                <w:szCs w:val="18"/>
              </w:rPr>
              <w:t xml:space="preserve">Translate research and best practices into actionable policy — from legislative briefs to administrative guidance — ensuring your work is grounded, compliant, and implementation-ready.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990000"/>
                <w:spacing w:val="40"/>
                <w:sz w:val="16"/>
                <w:szCs w:val="16"/>
              </w:rPr>
              <w:t xml:space="preserve">DELIVERABLES INCLUDE: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Policy briefs and white papers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Legislative analysis and testimony prep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Federal compliance guidance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Administrative rule review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Advocacy toolkit development</w:t>
            </w:r>
          </w:p>
        </w:tc>
        <w:tc>
          <w:tcPr>
            <w:tcW w:type="dxa" w:w="12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3740"/>
            <w:tcBorders>
              <w:top w:val="single" w:color="990000" w:sz="12"/>
              <w:left w:val="none" w:color="FFFFFF" w:sz="0"/>
              <w:bottom w:val="none" w:color="FFFFFF" w:sz="0"/>
              <w:right w:val="none" w:color="FFFFFF" w:sz="0"/>
            </w:tcBorders>
            <w:shd w:fill="EEF1F8" w:val="clear"/>
            <w:tcMar>
              <w:top w:type="dxa" w:w="160"/>
              <w:left w:type="dxa" w:w="180"/>
              <w:bottom w:type="dxa" w:w="160"/>
              <w:right w:type="dxa" w:w="180"/>
            </w:tcMar>
          </w:tcPr>
          <w:p>
            <w:pPr>
              <w:spacing w:after="60" w:before="0"/>
            </w:pPr>
            <w:r>
              <w:rPr>
                <w:rFonts w:ascii="Segoe UI Emoji" w:cs="Segoe UI Emoji" w:eastAsia="Segoe UI Emoji" w:hAnsi="Segoe UI Emoji"/>
                <w:sz w:val="32"/>
                <w:szCs w:val="32"/>
              </w:rPr>
              <w:t xml:space="preserve">🔍</w:t>
            </w:r>
          </w:p>
          <w:p>
            <w:pPr>
              <w:spacing w:after="8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22"/>
                <w:szCs w:val="22"/>
              </w:rPr>
              <w:t xml:space="preserve">Racial &amp; Ethnic Disparity Reduction</w:t>
            </w:r>
          </w:p>
          <w:p>
            <w:pPr>
              <w:spacing w:after="100" w:before="0"/>
              <w:jc w:val="both"/>
            </w:pPr>
            <w:r>
              <w:rPr>
                <w:rFonts w:ascii="Garamond" w:cs="Garamond" w:eastAsia="Garamond" w:hAnsi="Garamond"/>
                <w:color w:val="444444"/>
                <w:sz w:val="18"/>
                <w:szCs w:val="18"/>
              </w:rPr>
              <w:t xml:space="preserve">Data-driven technical assistance to identify, understand, and reduce racial and ethnic disparities across the justice continuum — with community-centered, sustainable solutions.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990000"/>
                <w:spacing w:val="40"/>
                <w:sz w:val="16"/>
                <w:szCs w:val="16"/>
              </w:rPr>
              <w:t xml:space="preserve">DELIVERABLES INCLUDE: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Disparity analysis and reporting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R/ED Coordinator support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Implicit bias training design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Community engagement strategies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DMC core requirements guidance</w:t>
            </w:r>
          </w:p>
        </w:tc>
      </w:tr>
    </w:tbl>
    <w:p>
      <w:pPr>
        <w:spacing w:after="0" w:before="140"/>
      </w:pPr>
      <w:r>
        <w:t xml:space="preserve"/>
      </w:r>
    </w:p>
    <w:tbl>
      <w:tblPr>
        <w:tblW w:type="dxa" w:w="116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740"/>
        <w:gridCol w:w="120"/>
        <w:gridCol w:w="3740"/>
        <w:gridCol w:w="120"/>
        <w:gridCol w:w="3740"/>
      </w:tblGrid>
      <w:tr>
        <w:tc>
          <w:tcPr>
            <w:tcW w:type="dxa" w:w="3740"/>
            <w:tcBorders>
              <w:top w:val="single" w:color="990000" w:sz="12"/>
              <w:left w:val="none" w:color="FFFFFF" w:sz="0"/>
              <w:bottom w:val="none" w:color="FFFFFF" w:sz="0"/>
              <w:right w:val="none" w:color="FFFFFF" w:sz="0"/>
            </w:tcBorders>
            <w:shd w:fill="F9EEEE" w:val="clear"/>
            <w:tcMar>
              <w:top w:type="dxa" w:w="160"/>
              <w:left w:type="dxa" w:w="180"/>
              <w:bottom w:type="dxa" w:w="160"/>
              <w:right w:type="dxa" w:w="180"/>
            </w:tcMar>
          </w:tcPr>
          <w:p>
            <w:pPr>
              <w:spacing w:after="60" w:before="0"/>
            </w:pPr>
            <w:r>
              <w:rPr>
                <w:rFonts w:ascii="Segoe UI Emoji" w:cs="Segoe UI Emoji" w:eastAsia="Segoe UI Emoji" w:hAnsi="Segoe UI Emoji"/>
                <w:sz w:val="32"/>
                <w:szCs w:val="32"/>
              </w:rPr>
              <w:t xml:space="preserve">🏗️</w:t>
            </w:r>
          </w:p>
          <w:p>
            <w:pPr>
              <w:spacing w:after="8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22"/>
                <w:szCs w:val="22"/>
              </w:rPr>
              <w:t xml:space="preserve">Probation Transformation</w:t>
            </w:r>
          </w:p>
          <w:p>
            <w:pPr>
              <w:spacing w:after="100" w:before="0"/>
              <w:jc w:val="both"/>
            </w:pPr>
            <w:r>
              <w:rPr>
                <w:rFonts w:ascii="Garamond" w:cs="Garamond" w:eastAsia="Garamond" w:hAnsi="Garamond"/>
                <w:color w:val="444444"/>
                <w:sz w:val="18"/>
                <w:szCs w:val="18"/>
              </w:rPr>
              <w:t xml:space="preserve">Redesign probation practices to be developmentally appropriate, equity-centered, and outcome-driven — reducing recidivism and supporting successful reentry and reintegration.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990000"/>
                <w:spacing w:val="40"/>
                <w:sz w:val="16"/>
                <w:szCs w:val="16"/>
              </w:rPr>
              <w:t xml:space="preserve">DELIVERABLES INCLUDE: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Caseload review and restructuring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Risk/needs assessment guidance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Conditions of supervision reform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Staff development curriculum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Performance metric frameworks</w:t>
            </w:r>
          </w:p>
        </w:tc>
        <w:tc>
          <w:tcPr>
            <w:tcW w:type="dxa" w:w="12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3740"/>
            <w:tcBorders>
              <w:top w:val="single" w:color="990000" w:sz="12"/>
              <w:left w:val="none" w:color="FFFFFF" w:sz="0"/>
              <w:bottom w:val="none" w:color="FFFFFF" w:sz="0"/>
              <w:right w:val="none" w:color="FFFFFF" w:sz="0"/>
            </w:tcBorders>
            <w:shd w:fill="EEF1F8" w:val="clear"/>
            <w:tcMar>
              <w:top w:type="dxa" w:w="160"/>
              <w:left w:type="dxa" w:w="180"/>
              <w:bottom w:type="dxa" w:w="160"/>
              <w:right w:type="dxa" w:w="180"/>
            </w:tcMar>
          </w:tcPr>
          <w:p>
            <w:pPr>
              <w:spacing w:after="60" w:before="0"/>
            </w:pPr>
            <w:r>
              <w:rPr>
                <w:rFonts w:ascii="Segoe UI Emoji" w:cs="Segoe UI Emoji" w:eastAsia="Segoe UI Emoji" w:hAnsi="Segoe UI Emoji"/>
                <w:sz w:val="32"/>
                <w:szCs w:val="32"/>
              </w:rPr>
              <w:t xml:space="preserve">📊</w:t>
            </w:r>
          </w:p>
          <w:p>
            <w:pPr>
              <w:spacing w:after="8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22"/>
                <w:szCs w:val="22"/>
              </w:rPr>
              <w:t xml:space="preserve">Program Evaluation &amp; Accountability</w:t>
            </w:r>
          </w:p>
          <w:p>
            <w:pPr>
              <w:spacing w:after="100" w:before="0"/>
              <w:jc w:val="both"/>
            </w:pPr>
            <w:r>
              <w:rPr>
                <w:rFonts w:ascii="Garamond" w:cs="Garamond" w:eastAsia="Garamond" w:hAnsi="Garamond"/>
                <w:color w:val="444444"/>
                <w:sz w:val="18"/>
                <w:szCs w:val="18"/>
              </w:rPr>
              <w:t xml:space="preserve">Design and manage evaluations that demonstrate impact, support continuous improvement, and satisfy funder and federal reporting requirements with rigor and clarity.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990000"/>
                <w:spacing w:val="40"/>
                <w:sz w:val="16"/>
                <w:szCs w:val="16"/>
              </w:rPr>
              <w:t xml:space="preserve">DELIVERABLES INCLUDE: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Logic model development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Data collection tool design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Process and outcome evaluation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Grant reporting support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Dashboard and indicator design</w:t>
            </w:r>
          </w:p>
        </w:tc>
        <w:tc>
          <w:tcPr>
            <w:tcW w:type="dxa" w:w="12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3740"/>
            <w:tcBorders>
              <w:top w:val="single" w:color="990000" w:sz="12"/>
              <w:left w:val="none" w:color="FFFFFF" w:sz="0"/>
              <w:bottom w:val="none" w:color="FFFFFF" w:sz="0"/>
              <w:right w:val="none" w:color="FFFFFF" w:sz="0"/>
            </w:tcBorders>
            <w:shd w:fill="F9EEEE" w:val="clear"/>
            <w:tcMar>
              <w:top w:type="dxa" w:w="160"/>
              <w:left w:type="dxa" w:w="180"/>
              <w:bottom w:type="dxa" w:w="160"/>
              <w:right w:type="dxa" w:w="180"/>
            </w:tcMar>
          </w:tcPr>
          <w:p>
            <w:pPr>
              <w:spacing w:after="60" w:before="0"/>
            </w:pPr>
            <w:r>
              <w:rPr>
                <w:rFonts w:ascii="Segoe UI Emoji" w:cs="Segoe UI Emoji" w:eastAsia="Segoe UI Emoji" w:hAnsi="Segoe UI Emoji"/>
                <w:sz w:val="32"/>
                <w:szCs w:val="32"/>
              </w:rPr>
              <w:t xml:space="preserve">🎓</w:t>
            </w:r>
          </w:p>
          <w:p>
            <w:pPr>
              <w:spacing w:after="8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22"/>
                <w:szCs w:val="22"/>
              </w:rPr>
              <w:t xml:space="preserve">Training &amp; Technical Assistance</w:t>
            </w:r>
          </w:p>
          <w:p>
            <w:pPr>
              <w:spacing w:after="100" w:before="0"/>
              <w:jc w:val="both"/>
            </w:pPr>
            <w:r>
              <w:rPr>
                <w:rFonts w:ascii="Garamond" w:cs="Garamond" w:eastAsia="Garamond" w:hAnsi="Garamond"/>
                <w:color w:val="444444"/>
                <w:sz w:val="18"/>
                <w:szCs w:val="18"/>
              </w:rPr>
              <w:t xml:space="preserve">Customized, practitioner-informed training and TA to build capacity at every level — from frontline staff to senior leadership — across multiple delivery formats.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990000"/>
                <w:spacing w:val="40"/>
                <w:sz w:val="16"/>
                <w:szCs w:val="16"/>
              </w:rPr>
              <w:t xml:space="preserve">DELIVERABLES INCLUDE: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Curriculum design and delivery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Train-the-trainer programs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Webinar and workshop facilitation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Coaching and peer learning</w:t>
            </w:r>
          </w:p>
          <w:p>
            <w:pPr>
              <w:spacing w:after="30" w:before="30"/>
            </w:pPr>
            <w:r>
              <w:rPr>
                <w:rFonts w:ascii="Garamond" w:cs="Garamond" w:eastAsia="Garamond" w:hAnsi="Garamond"/>
                <w:color w:val="333333"/>
                <w:sz w:val="17"/>
                <w:szCs w:val="17"/>
              </w:rPr>
              <w:t xml:space="preserve">▪  Resource guide development</w:t>
            </w:r>
          </w:p>
        </w:tc>
      </w:tr>
    </w:tbl>
    <w:p>
      <w:pPr>
        <w:sectPr>
          <w:pgSz w:w="12240" w:h="15840" w:orient="portrait"/>
          <w:pgMar w:top="0" w:right="0" w:bottom="720" w:left="0" w:header="708" w:footer="708" w:gutter="0"/>
          <w:pgNumType/>
          <w:docGrid w:linePitch="360"/>
        </w:sectPr>
      </w:pPr>
    </w:p>
    <w:p>
      <w:pPr>
        <w:spacing w:after="0" w:before="160"/>
      </w:pPr>
      <w:r>
        <w:t xml:space="preserve"/>
      </w:r>
    </w:p>
    <w:tbl>
      <w:tblPr>
        <w:tblW w:type="dxa" w:w="1224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224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990000" w:val="clear"/>
            <w:tcMar>
              <w:top w:type="dxa" w:w="100"/>
              <w:left w:type="dxa" w:w="720"/>
              <w:bottom w:type="dxa" w:w="100"/>
              <w:right w:type="dxa" w:w="720"/>
            </w:tcMar>
          </w:tcPr>
          <w:p>
            <w:r>
              <w:rPr>
                <w:rFonts w:ascii="Garamond" w:cs="Garamond" w:eastAsia="Garamond" w:hAnsi="Garamond"/>
                <w:b/>
                <w:bCs/>
                <w:color w:val="FFFFFF"/>
                <w:spacing w:val="80"/>
                <w:sz w:val="22"/>
                <w:szCs w:val="22"/>
              </w:rPr>
              <w:t xml:space="preserve">ENGAGEMENT OPTIONS</w:t>
            </w:r>
          </w:p>
        </w:tc>
      </w:tr>
    </w:tbl>
    <w:p>
      <w:pPr>
        <w:spacing w:after="0" w:before="140"/>
      </w:pPr>
      <w:r>
        <w:t xml:space="preserve"/>
      </w:r>
    </w:p>
    <w:tbl>
      <w:tblPr>
        <w:tblW w:type="dxa" w:w="116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740"/>
        <w:gridCol w:w="200"/>
        <w:gridCol w:w="2740"/>
        <w:gridCol w:w="200"/>
        <w:gridCol w:w="2740"/>
        <w:gridCol w:w="200"/>
        <w:gridCol w:w="2780"/>
      </w:tblGrid>
      <w:tr>
        <w:tc>
          <w:tcPr>
            <w:tcW w:type="dxa" w:w="274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200"/>
              <w:left w:type="dxa" w:w="180"/>
              <w:bottom w:type="dxa" w:w="200"/>
              <w:right w:type="dxa" w:w="180"/>
            </w:tcMar>
          </w:tcPr>
          <w:p>
            <w:pPr>
              <w:spacing w:after="100" w:before="0"/>
              <w:jc w:val="center"/>
            </w:pPr>
            <w:r>
              <w:rPr>
                <w:rFonts w:ascii="Garamond" w:cs="Garamond" w:eastAsia="Garamond" w:hAnsi="Garamond"/>
                <w:b/>
                <w:bCs/>
                <w:color w:val="C8A84B"/>
                <w:spacing w:val="40"/>
                <w:sz w:val="21"/>
                <w:szCs w:val="21"/>
              </w:rPr>
              <w:t xml:space="preserve">PROJECT-BASED</w:t>
            </w:r>
          </w:p>
          <w:p>
            <w:pPr>
              <w:spacing w:after="100" w:before="0"/>
              <w:jc w:val="both"/>
            </w:pPr>
            <w:r>
              <w:rPr>
                <w:rFonts w:ascii="Garamond" w:cs="Garamond" w:eastAsia="Garamond" w:hAnsi="Garamond"/>
                <w:color w:val="FFFFFF"/>
                <w:sz w:val="18"/>
                <w:szCs w:val="18"/>
              </w:rPr>
              <w:t xml:space="preserve">Defined scope, timeline, and deliverables. Ideal for toolkits, assessments, training curricula, policy briefs, and evaluations.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CCCCCC"/>
                <w:sz w:val="17"/>
                <w:szCs w:val="17"/>
              </w:rPr>
              <w:t xml:space="preserve">▪  Clear deliverables and milestones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CCCCCC"/>
                <w:sz w:val="17"/>
                <w:szCs w:val="17"/>
              </w:rPr>
              <w:t xml:space="preserve">▪  Fixed or phased timeline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CCCCCC"/>
                <w:sz w:val="17"/>
                <w:szCs w:val="17"/>
              </w:rPr>
              <w:t xml:space="preserve">▪  Competitive flat-fee pricing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CCCCCC"/>
                <w:sz w:val="17"/>
                <w:szCs w:val="17"/>
              </w:rPr>
              <w:t xml:space="preserve">▪  Final report and presentation</w:t>
            </w:r>
          </w:p>
        </w:tc>
        <w:tc>
          <w:tcPr>
            <w:tcW w:type="dxa" w:w="20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274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990000" w:val="clear"/>
            <w:tcMar>
              <w:top w:type="dxa" w:w="200"/>
              <w:left w:type="dxa" w:w="180"/>
              <w:bottom w:type="dxa" w:w="200"/>
              <w:right w:type="dxa" w:w="180"/>
            </w:tcMar>
          </w:tcPr>
          <w:p>
            <w:pPr>
              <w:spacing w:after="100" w:before="0"/>
              <w:jc w:val="center"/>
            </w:pPr>
            <w:r>
              <w:rPr>
                <w:rFonts w:ascii="Garamond" w:cs="Garamond" w:eastAsia="Garamond" w:hAnsi="Garamond"/>
                <w:b/>
                <w:bCs/>
                <w:color w:val="FFFFFF"/>
                <w:spacing w:val="40"/>
                <w:sz w:val="21"/>
                <w:szCs w:val="21"/>
              </w:rPr>
              <w:t xml:space="preserve">RETAINER / ONGOING</w:t>
            </w:r>
          </w:p>
          <w:p>
            <w:pPr>
              <w:spacing w:after="100" w:before="0"/>
              <w:jc w:val="both"/>
            </w:pPr>
            <w:r>
              <w:rPr>
                <w:rFonts w:ascii="Garamond" w:cs="Garamond" w:eastAsia="Garamond" w:hAnsi="Garamond"/>
                <w:color w:val="FFFFFF"/>
                <w:sz w:val="18"/>
                <w:szCs w:val="18"/>
              </w:rPr>
              <w:t xml:space="preserve">Sustained partnership for organizations with ongoing reform work, requiring consistent strategic guidance and support over time.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FFCCCC"/>
                <w:sz w:val="17"/>
                <w:szCs w:val="17"/>
              </w:rPr>
              <w:t xml:space="preserve">▪  Monthly strategy sessions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FFCCCC"/>
                <w:sz w:val="17"/>
                <w:szCs w:val="17"/>
              </w:rPr>
              <w:t xml:space="preserve">▪  Priority responsiveness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FFCCCC"/>
                <w:sz w:val="17"/>
                <w:szCs w:val="17"/>
              </w:rPr>
              <w:t xml:space="preserve">▪  Ongoing TA and coaching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FFCCCC"/>
                <w:sz w:val="17"/>
                <w:szCs w:val="17"/>
              </w:rPr>
              <w:t xml:space="preserve">▪  Quarterly progress reviews</w:t>
            </w:r>
          </w:p>
        </w:tc>
        <w:tc>
          <w:tcPr>
            <w:tcW w:type="dxa" w:w="20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274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200"/>
              <w:left w:type="dxa" w:w="180"/>
              <w:bottom w:type="dxa" w:w="200"/>
              <w:right w:type="dxa" w:w="180"/>
            </w:tcMar>
          </w:tcPr>
          <w:p>
            <w:pPr>
              <w:spacing w:after="100" w:before="0"/>
              <w:jc w:val="center"/>
            </w:pPr>
            <w:r>
              <w:rPr>
                <w:rFonts w:ascii="Garamond" w:cs="Garamond" w:eastAsia="Garamond" w:hAnsi="Garamond"/>
                <w:b/>
                <w:bCs/>
                <w:color w:val="C8A84B"/>
                <w:spacing w:val="40"/>
                <w:sz w:val="21"/>
                <w:szCs w:val="21"/>
              </w:rPr>
              <w:t xml:space="preserve">TRAINING &amp; KEYNOTE</w:t>
            </w:r>
          </w:p>
          <w:p>
            <w:pPr>
              <w:spacing w:after="100" w:before="0"/>
              <w:jc w:val="both"/>
            </w:pPr>
            <w:r>
              <w:rPr>
                <w:rFonts w:ascii="Garamond" w:cs="Garamond" w:eastAsia="Garamond" w:hAnsi="Garamond"/>
                <w:color w:val="FFFFFF"/>
                <w:sz w:val="18"/>
                <w:szCs w:val="18"/>
              </w:rPr>
              <w:t xml:space="preserve">Custom-designed or signature training sessions and keynote presentations for conferences, convenings, and staff development events.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CCCCCC"/>
                <w:sz w:val="17"/>
                <w:szCs w:val="17"/>
              </w:rPr>
              <w:t xml:space="preserve">▪  Half-day and full-day formats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CCCCCC"/>
                <w:sz w:val="17"/>
                <w:szCs w:val="17"/>
              </w:rPr>
              <w:t xml:space="preserve">▪  Virtual or in-person delivery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CCCCCC"/>
                <w:sz w:val="17"/>
                <w:szCs w:val="17"/>
              </w:rPr>
              <w:t xml:space="preserve">▪  CEU/credit-eligible design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CCCCCC"/>
                <w:sz w:val="17"/>
                <w:szCs w:val="17"/>
              </w:rPr>
              <w:t xml:space="preserve">▪  Pre/post assessments available</w:t>
            </w:r>
          </w:p>
        </w:tc>
        <w:tc>
          <w:tcPr>
            <w:tcW w:type="dxa" w:w="20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278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990000" w:val="clear"/>
            <w:tcMar>
              <w:top w:type="dxa" w:w="200"/>
              <w:left w:type="dxa" w:w="180"/>
              <w:bottom w:type="dxa" w:w="200"/>
              <w:right w:type="dxa" w:w="180"/>
            </w:tcMar>
          </w:tcPr>
          <w:p>
            <w:pPr>
              <w:spacing w:after="100" w:before="0"/>
              <w:jc w:val="center"/>
            </w:pPr>
            <w:r>
              <w:rPr>
                <w:rFonts w:ascii="Garamond" w:cs="Garamond" w:eastAsia="Garamond" w:hAnsi="Garamond"/>
                <w:b/>
                <w:bCs/>
                <w:color w:val="FFFFFF"/>
                <w:spacing w:val="40"/>
                <w:sz w:val="21"/>
                <w:szCs w:val="21"/>
              </w:rPr>
              <w:t xml:space="preserve">ADVISORY / BOARD</w:t>
            </w:r>
          </w:p>
          <w:p>
            <w:pPr>
              <w:spacing w:after="100" w:before="0"/>
              <w:jc w:val="both"/>
            </w:pPr>
            <w:r>
              <w:rPr>
                <w:rFonts w:ascii="Garamond" w:cs="Garamond" w:eastAsia="Garamond" w:hAnsi="Garamond"/>
                <w:color w:val="FFFFFF"/>
                <w:sz w:val="18"/>
                <w:szCs w:val="18"/>
              </w:rPr>
              <w:t xml:space="preserve">Strategic advisory roles for initiatives, task forces, commissions, or boards seeking subject-matter expertise in justice reform.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FFCCCC"/>
                <w:sz w:val="17"/>
                <w:szCs w:val="17"/>
              </w:rPr>
              <w:t xml:space="preserve">▪  Committee and board service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FFCCCC"/>
                <w:sz w:val="17"/>
                <w:szCs w:val="17"/>
              </w:rPr>
              <w:t xml:space="preserve">▪  Expert review and feedback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FFCCCC"/>
                <w:sz w:val="17"/>
                <w:szCs w:val="17"/>
              </w:rPr>
              <w:t xml:space="preserve">▪  Public convening facilitation</w:t>
            </w:r>
          </w:p>
          <w:p>
            <w:pPr>
              <w:spacing w:after="36" w:before="36"/>
            </w:pPr>
            <w:r>
              <w:rPr>
                <w:rFonts w:ascii="Garamond" w:cs="Garamond" w:eastAsia="Garamond" w:hAnsi="Garamond"/>
                <w:color w:val="FFCCCC"/>
                <w:sz w:val="17"/>
                <w:szCs w:val="17"/>
              </w:rPr>
              <w:t xml:space="preserve">▪  Strategic planning advisory</w:t>
            </w:r>
          </w:p>
        </w:tc>
      </w:tr>
    </w:tbl>
    <w:p>
      <w:pPr>
        <w:spacing w:after="0" w:before="200"/>
      </w:pPr>
      <w:r>
        <w:t xml:space="preserve"/>
      </w:r>
    </w:p>
    <w:tbl>
      <w:tblPr>
        <w:tblW w:type="dxa" w:w="1224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224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100"/>
              <w:left w:type="dxa" w:w="720"/>
              <w:bottom w:type="dxa" w:w="100"/>
              <w:right w:type="dxa" w:w="720"/>
            </w:tcMar>
          </w:tcPr>
          <w:p>
            <w:r>
              <w:rPr>
                <w:rFonts w:ascii="Garamond" w:cs="Garamond" w:eastAsia="Garamond" w:hAnsi="Garamond"/>
                <w:b/>
                <w:bCs/>
                <w:color w:val="FFFFFF"/>
                <w:spacing w:val="80"/>
                <w:sz w:val="22"/>
                <w:szCs w:val="22"/>
              </w:rPr>
              <w:t xml:space="preserve">OUR ENGAGEMENT PROCESS</w:t>
            </w:r>
          </w:p>
        </w:tc>
      </w:tr>
    </w:tbl>
    <w:p>
      <w:pPr>
        <w:spacing w:after="0" w:before="140"/>
      </w:pPr>
      <w:r>
        <w:t xml:space="preserve"/>
      </w:r>
    </w:p>
    <w:tbl>
      <w:tblPr>
        <w:tblW w:type="dxa" w:w="116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200"/>
        <w:gridCol w:w="200"/>
        <w:gridCol w:w="2200"/>
        <w:gridCol w:w="200"/>
        <w:gridCol w:w="2200"/>
        <w:gridCol w:w="200"/>
        <w:gridCol w:w="2200"/>
        <w:gridCol w:w="200"/>
        <w:gridCol w:w="2200"/>
      </w:tblGrid>
      <w:tr>
        <w:tc>
          <w:tcPr>
            <w:tcW w:type="dxa" w:w="2200"/>
            <w:tcBorders>
              <w:top w:val="single" w:color="0B1F4D" w:sz="10"/>
              <w:left w:val="none" w:color="FFFFFF" w:sz="0"/>
              <w:bottom w:val="none" w:color="FFFFFF" w:sz="0"/>
              <w:right w:val="none" w:color="FFFFFF" w:sz="0"/>
            </w:tcBorders>
            <w:shd w:fill="EEF1F8" w:val="clear"/>
            <w:tcMar>
              <w:top w:type="dxa" w:w="140"/>
              <w:left w:type="dxa" w:w="140"/>
              <w:bottom w:type="dxa" w:w="140"/>
              <w:right w:type="dxa" w:w="140"/>
            </w:tcMar>
          </w:tcPr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44"/>
                <w:szCs w:val="44"/>
              </w:rPr>
              <w:t xml:space="preserve">01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222222"/>
                <w:sz w:val="21"/>
                <w:szCs w:val="21"/>
              </w:rPr>
              <w:t xml:space="preserve">Discovery</w:t>
            </w:r>
          </w:p>
          <w:p>
            <w:pPr>
              <w:spacing w:after="0" w:before="0"/>
            </w:pPr>
            <w:r>
              <w:rPr>
                <w:rFonts w:ascii="Garamond" w:cs="Garamond" w:eastAsia="Garamond" w:hAnsi="Garamond"/>
                <w:color w:val="444444"/>
                <w:sz w:val="17"/>
                <w:szCs w:val="17"/>
              </w:rPr>
              <w:t xml:space="preserve">We learn your context, goals, constraints, and stakeholders.</w:t>
            </w:r>
          </w:p>
        </w:tc>
        <w:tc>
          <w:tcPr>
            <w:tcW w:type="dxa" w:w="20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2200"/>
            <w:tcBorders>
              <w:top w:val="single" w:color="990000" w:sz="10"/>
              <w:left w:val="none" w:color="FFFFFF" w:sz="0"/>
              <w:bottom w:val="none" w:color="FFFFFF" w:sz="0"/>
              <w:right w:val="none" w:color="FFFFFF" w:sz="0"/>
            </w:tcBorders>
            <w:shd w:fill="F9EEEE" w:val="clear"/>
            <w:tcMar>
              <w:top w:type="dxa" w:w="140"/>
              <w:left w:type="dxa" w:w="140"/>
              <w:bottom w:type="dxa" w:w="140"/>
              <w:right w:type="dxa" w:w="140"/>
            </w:tcMar>
          </w:tcPr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990000"/>
                <w:sz w:val="44"/>
                <w:szCs w:val="44"/>
              </w:rPr>
              <w:t xml:space="preserve">02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222222"/>
                <w:sz w:val="21"/>
                <w:szCs w:val="21"/>
              </w:rPr>
              <w:t xml:space="preserve">Proposal</w:t>
            </w:r>
          </w:p>
          <w:p>
            <w:pPr>
              <w:spacing w:after="0" w:before="0"/>
            </w:pPr>
            <w:r>
              <w:rPr>
                <w:rFonts w:ascii="Garamond" w:cs="Garamond" w:eastAsia="Garamond" w:hAnsi="Garamond"/>
                <w:color w:val="444444"/>
                <w:sz w:val="17"/>
                <w:szCs w:val="17"/>
              </w:rPr>
              <w:t xml:space="preserve">We deliver a tailored scope of work, timeline, and budget.</w:t>
            </w:r>
          </w:p>
        </w:tc>
        <w:tc>
          <w:tcPr>
            <w:tcW w:type="dxa" w:w="20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2200"/>
            <w:tcBorders>
              <w:top w:val="single" w:color="0B1F4D" w:sz="10"/>
              <w:left w:val="none" w:color="FFFFFF" w:sz="0"/>
              <w:bottom w:val="none" w:color="FFFFFF" w:sz="0"/>
              <w:right w:val="none" w:color="FFFFFF" w:sz="0"/>
            </w:tcBorders>
            <w:shd w:fill="EEF1F8" w:val="clear"/>
            <w:tcMar>
              <w:top w:type="dxa" w:w="140"/>
              <w:left w:type="dxa" w:w="140"/>
              <w:bottom w:type="dxa" w:w="140"/>
              <w:right w:type="dxa" w:w="140"/>
            </w:tcMar>
          </w:tcPr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44"/>
                <w:szCs w:val="44"/>
              </w:rPr>
              <w:t xml:space="preserve">03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222222"/>
                <w:sz w:val="21"/>
                <w:szCs w:val="21"/>
              </w:rPr>
              <w:t xml:space="preserve">Engagement</w:t>
            </w:r>
          </w:p>
          <w:p>
            <w:pPr>
              <w:spacing w:after="0" w:before="0"/>
            </w:pPr>
            <w:r>
              <w:rPr>
                <w:rFonts w:ascii="Garamond" w:cs="Garamond" w:eastAsia="Garamond" w:hAnsi="Garamond"/>
                <w:color w:val="444444"/>
                <w:sz w:val="17"/>
                <w:szCs w:val="17"/>
              </w:rPr>
              <w:t xml:space="preserve">We do the work — with transparency and regular check-ins.</w:t>
            </w:r>
          </w:p>
        </w:tc>
        <w:tc>
          <w:tcPr>
            <w:tcW w:type="dxa" w:w="20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2200"/>
            <w:tcBorders>
              <w:top w:val="single" w:color="990000" w:sz="10"/>
              <w:left w:val="none" w:color="FFFFFF" w:sz="0"/>
              <w:bottom w:val="none" w:color="FFFFFF" w:sz="0"/>
              <w:right w:val="none" w:color="FFFFFF" w:sz="0"/>
            </w:tcBorders>
            <w:shd w:fill="F9EEEE" w:val="clear"/>
            <w:tcMar>
              <w:top w:type="dxa" w:w="140"/>
              <w:left w:type="dxa" w:w="140"/>
              <w:bottom w:type="dxa" w:w="140"/>
              <w:right w:type="dxa" w:w="140"/>
            </w:tcMar>
          </w:tcPr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990000"/>
                <w:sz w:val="44"/>
                <w:szCs w:val="44"/>
              </w:rPr>
              <w:t xml:space="preserve">04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222222"/>
                <w:sz w:val="21"/>
                <w:szCs w:val="21"/>
              </w:rPr>
              <w:t xml:space="preserve">Delivery</w:t>
            </w:r>
          </w:p>
          <w:p>
            <w:pPr>
              <w:spacing w:after="0" w:before="0"/>
            </w:pPr>
            <w:r>
              <w:rPr>
                <w:rFonts w:ascii="Garamond" w:cs="Garamond" w:eastAsia="Garamond" w:hAnsi="Garamond"/>
                <w:color w:val="444444"/>
                <w:sz w:val="17"/>
                <w:szCs w:val="17"/>
              </w:rPr>
              <w:t xml:space="preserve">Final deliverables, presentation, and implementation support.</w:t>
            </w:r>
          </w:p>
        </w:tc>
        <w:tc>
          <w:tcPr>
            <w:tcW w:type="dxa" w:w="20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2200"/>
            <w:tcBorders>
              <w:top w:val="single" w:color="0B1F4D" w:sz="10"/>
              <w:left w:val="none" w:color="FFFFFF" w:sz="0"/>
              <w:bottom w:val="none" w:color="FFFFFF" w:sz="0"/>
              <w:right w:val="none" w:color="FFFFFF" w:sz="0"/>
            </w:tcBorders>
            <w:shd w:fill="EEF1F8" w:val="clear"/>
            <w:tcMar>
              <w:top w:type="dxa" w:w="140"/>
              <w:left w:type="dxa" w:w="140"/>
              <w:bottom w:type="dxa" w:w="140"/>
              <w:right w:type="dxa" w:w="140"/>
            </w:tcMar>
          </w:tcPr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44"/>
                <w:szCs w:val="44"/>
              </w:rPr>
              <w:t xml:space="preserve">05</w:t>
            </w:r>
          </w:p>
          <w:p>
            <w:pPr>
              <w:spacing w:after="60" w:before="0"/>
            </w:pPr>
            <w:r>
              <w:rPr>
                <w:rFonts w:ascii="Garamond" w:cs="Garamond" w:eastAsia="Garamond" w:hAnsi="Garamond"/>
                <w:b/>
                <w:bCs/>
                <w:color w:val="222222"/>
                <w:sz w:val="21"/>
                <w:szCs w:val="21"/>
              </w:rPr>
              <w:t xml:space="preserve">Sustainability</w:t>
            </w:r>
          </w:p>
          <w:p>
            <w:pPr>
              <w:spacing w:after="0" w:before="0"/>
            </w:pPr>
            <w:r>
              <w:rPr>
                <w:rFonts w:ascii="Garamond" w:cs="Garamond" w:eastAsia="Garamond" w:hAnsi="Garamond"/>
                <w:color w:val="444444"/>
                <w:sz w:val="17"/>
                <w:szCs w:val="17"/>
              </w:rPr>
              <w:t xml:space="preserve">We build your capacity to sustain change long after our engagement ends.</w:t>
            </w:r>
          </w:p>
        </w:tc>
      </w:tr>
    </w:tbl>
    <w:p>
      <w:pPr>
        <w:spacing w:after="0" w:before="200"/>
      </w:pPr>
      <w:r>
        <w:t xml:space="preserve"/>
      </w:r>
    </w:p>
    <w:tbl>
      <w:tblPr>
        <w:tblW w:type="dxa" w:w="1224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2240"/>
      </w:tblGrid>
      <w:tr>
        <w:tc>
          <w:tcPr>
            <w:tcBorders>
              <w:top w:val="single" w:color="990000" w:sz="12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220"/>
              <w:left w:type="dxa" w:w="480"/>
              <w:bottom w:type="dxa" w:w="220"/>
              <w:right w:type="dxa" w:w="480"/>
            </w:tcMar>
          </w:tcPr>
          <w:p>
            <w:pPr>
              <w:spacing w:after="80" w:before="0"/>
              <w:jc w:val="center"/>
            </w:pPr>
            <w:r>
              <w:rPr>
                <w:rFonts w:ascii="Garamond" w:cs="Garamond" w:eastAsia="Garamond" w:hAnsi="Garamond"/>
                <w:b/>
                <w:bCs/>
                <w:color w:val="FFFFFF"/>
                <w:sz w:val="32"/>
                <w:szCs w:val="32"/>
              </w:rPr>
              <w:t xml:space="preserve">Ready to Get Started?</w:t>
            </w:r>
          </w:p>
          <w:p>
            <w:pPr>
              <w:spacing w:after="120" w:before="0"/>
              <w:jc w:val="center"/>
            </w:pPr>
            <w:r>
              <w:rPr>
                <w:rFonts w:ascii="Garamond" w:cs="Garamond" w:eastAsia="Garamond" w:hAnsi="Garamond"/>
                <w:i/>
                <w:iCs/>
                <w:color w:val="CCCCCC"/>
                <w:sz w:val="20"/>
                <w:szCs w:val="20"/>
              </w:rPr>
              <w:t xml:space="preserve">Schedule a complimentary 30-minute discovery call to discuss your needs and explore how The Mitchell Firm can support your work.</w:t>
            </w:r>
          </w:p>
          <w:p>
            <w:pPr>
              <w:jc w:val="center"/>
            </w:pPr>
            <w:r>
              <w:rPr>
                <w:rFonts w:ascii="Garamond" w:cs="Garamond" w:eastAsia="Garamond" w:hAnsi="Garamond"/>
                <w:b/>
                <w:bCs/>
                <w:color w:val="C8A84B"/>
                <w:sz w:val="22"/>
                <w:szCs w:val="22"/>
              </w:rPr>
              <w:t xml:space="preserve">reginamitchell@tmfconsulting.org   •   (202) 670-4052   •   www.themitchellfirm.org</w:t>
            </w:r>
          </w:p>
        </w:tc>
      </w:tr>
    </w:tbl>
    <w:sectPr>
      <w:headerReference w:type="default" r:id="rId7"/>
      <w:pgSz w:w="12240" w:h="15840" w:orient="portrait"/>
      <w:pgMar w:top="0" w:right="0" w:bottom="0" w:left="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0" w:before="0"/>
      <w:jc w:val="center"/>
    </w:pPr>
    <w:r>
      <w:drawing>
        <wp:inline distT="0" distB="0" distL="0" distR="0">
          <wp:extent cx="9715500" cy="3886200"/>
          <wp:effectExtent t="0" r="0" b="0" l="0"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388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990000" w:sz="6"/>
      </w:pBdr>
      <w:spacing w:after="0" w:before="0"/>
    </w:pPr>
    <w:r>
      <w:t xml:space="preserve"/>
    </w:r>
  </w:p>
  <w:tbl>
    <w:tblPr>
      <w:tblW w:type="dxa" w:w="12240"/>
      <w:tblBorders>
        <w:top w:val="single" w:color="auto" w:sz="4"/>
        <w:left w:val="single" w:color="auto" w:sz="4"/>
        <w:bottom w:val="single" w:color="auto" w:sz="4"/>
        <w:right w:val="single" w:color="auto" w:sz="4"/>
        <w:insideH w:val="single" w:color="auto" w:sz="4"/>
        <w:insideV w:val="single" w:color="auto" w:sz="4"/>
      </w:tblBorders>
    </w:tblPr>
    <w:tblGrid>
      <w:gridCol w:w="12240"/>
    </w:tblGrid>
    <w:tr>
      <w:tc>
        <w:tcPr>
          <w:tcBorders>
            <w:top w:val="none" w:color="FFFFFF" w:sz="0"/>
            <w:left w:val="none" w:color="FFFFFF" w:sz="0"/>
            <w:bottom w:val="none" w:color="FFFFFF" w:sz="0"/>
            <w:right w:val="none" w:color="FFFFFF" w:sz="0"/>
          </w:tcBorders>
          <w:shd w:fill="0B1F4D" w:val="clear"/>
          <w:tcMar>
            <w:top w:type="dxa" w:w="100"/>
            <w:left w:type="dxa" w:w="720"/>
            <w:bottom w:type="dxa" w:w="100"/>
            <w:right w:type="dxa" w:w="720"/>
          </w:tcMar>
        </w:tcPr>
        <w:p>
          <w:pPr>
            <w:jc w:val="center"/>
          </w:pPr>
          <w:r>
            <w:rPr>
              <w:rFonts w:ascii="Garamond" w:cs="Garamond" w:eastAsia="Garamond" w:hAnsi="Garamond"/>
              <w:b/>
              <w:bCs/>
              <w:color w:val="FFFFFF"/>
              <w:spacing w:val="80"/>
              <w:sz w:val="28"/>
              <w:szCs w:val="28"/>
            </w:rPr>
            <w:t xml:space="preserve">EXECUTIVE SERVICE MENU  •  The Mitchell Firm, LLC</w:t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cs="Garamond" w:eastAsia="Garamond" w:hAnsi="Garamond"/>
        <w:sz w:val="20"/>
        <w:szCs w:val="20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image" Target="media/25387e5e00c49597aad57cc9722a94d5706fd4e6.png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25387e5e00c49597aad57cc9722a94d5706fd4e6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2026-06-01T05:23:08.398Z</dcterms:created>
  <dcterms:modified xsi:type="dcterms:W3CDTF">2026-06-01T05:23:08.398Z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